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93F82" w14:textId="07FD1D5B" w:rsidR="0067375C" w:rsidRDefault="0067375C" w:rsidP="00097F94">
      <w:pPr>
        <w:pStyle w:val="Title"/>
        <w:ind w:left="3600" w:firstLine="720"/>
        <w:jc w:val="left"/>
      </w:pPr>
      <w:r>
        <w:rPr>
          <w:rFonts w:ascii="Times New Roman"/>
          <w:b w:val="0"/>
          <w:noProof/>
          <w:sz w:val="20"/>
        </w:rPr>
        <w:drawing>
          <wp:inline distT="0" distB="0" distL="0" distR="0" wp14:anchorId="42BFD356" wp14:editId="541B66ED">
            <wp:extent cx="784115" cy="457771"/>
            <wp:effectExtent l="0" t="0" r="0" b="0"/>
            <wp:docPr id="3" name="Image 3" descr="A drawing of a build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drawing of a building&#10;&#10;Description automatically generated"/>
                    <pic:cNvPicPr/>
                  </pic:nvPicPr>
                  <pic:blipFill>
                    <a:blip r:embed="rId7" cstate="print"/>
                    <a:stretch>
                      <a:fillRect/>
                    </a:stretch>
                  </pic:blipFill>
                  <pic:spPr>
                    <a:xfrm>
                      <a:off x="0" y="0"/>
                      <a:ext cx="784115" cy="457771"/>
                    </a:xfrm>
                    <a:prstGeom prst="rect">
                      <a:avLst/>
                    </a:prstGeom>
                  </pic:spPr>
                </pic:pic>
              </a:graphicData>
            </a:graphic>
          </wp:inline>
        </w:drawing>
      </w:r>
    </w:p>
    <w:p w14:paraId="5F182F77" w14:textId="0E9A45ED" w:rsidR="00AC63BE" w:rsidRDefault="00AC63BE" w:rsidP="00AC63BE">
      <w:pPr>
        <w:pStyle w:val="Title"/>
      </w:pPr>
      <w:r>
        <w:t>NEW</w:t>
      </w:r>
      <w:r>
        <w:rPr>
          <w:spacing w:val="26"/>
        </w:rPr>
        <w:t xml:space="preserve"> </w:t>
      </w:r>
      <w:r>
        <w:t>END</w:t>
      </w:r>
      <w:r>
        <w:rPr>
          <w:spacing w:val="8"/>
        </w:rPr>
        <w:t xml:space="preserve"> </w:t>
      </w:r>
      <w:r>
        <w:t>PRIMARY</w:t>
      </w:r>
      <w:r>
        <w:rPr>
          <w:spacing w:val="28"/>
        </w:rPr>
        <w:t xml:space="preserve"> </w:t>
      </w:r>
      <w:r>
        <w:rPr>
          <w:spacing w:val="-2"/>
        </w:rPr>
        <w:t>SCHOOL</w:t>
      </w:r>
    </w:p>
    <w:p w14:paraId="3DE1BE40" w14:textId="6FFE796F" w:rsidR="00AC63BE" w:rsidRDefault="005C5FB2" w:rsidP="003E6F6F">
      <w:pPr>
        <w:pStyle w:val="BodyText"/>
        <w:spacing w:before="274"/>
        <w:ind w:left="783" w:right="1231"/>
        <w:jc w:val="center"/>
      </w:pPr>
      <w:r>
        <w:t xml:space="preserve">DRAFT </w:t>
      </w:r>
      <w:r w:rsidR="00AC63BE">
        <w:t>MINUTES</w:t>
      </w:r>
      <w:r w:rsidR="00AC63BE">
        <w:rPr>
          <w:spacing w:val="12"/>
        </w:rPr>
        <w:t xml:space="preserve"> </w:t>
      </w:r>
      <w:r w:rsidR="00AC63BE">
        <w:t>OF</w:t>
      </w:r>
      <w:r w:rsidR="00AC63BE">
        <w:rPr>
          <w:spacing w:val="3"/>
        </w:rPr>
        <w:t xml:space="preserve"> </w:t>
      </w:r>
      <w:r w:rsidR="00AC63BE">
        <w:t>THE</w:t>
      </w:r>
      <w:r w:rsidR="00AC63BE">
        <w:rPr>
          <w:spacing w:val="11"/>
        </w:rPr>
        <w:t xml:space="preserve"> </w:t>
      </w:r>
      <w:r w:rsidR="00AC63BE">
        <w:t>FULL</w:t>
      </w:r>
      <w:r w:rsidR="00AC63BE">
        <w:rPr>
          <w:spacing w:val="11"/>
        </w:rPr>
        <w:t xml:space="preserve"> </w:t>
      </w:r>
      <w:r w:rsidR="00AC63BE">
        <w:t>GOVERNING</w:t>
      </w:r>
      <w:r w:rsidR="00AC63BE">
        <w:rPr>
          <w:spacing w:val="5"/>
        </w:rPr>
        <w:t xml:space="preserve"> </w:t>
      </w:r>
      <w:r w:rsidR="00AC63BE">
        <w:t>BOARD</w:t>
      </w:r>
      <w:r w:rsidR="00AC63BE">
        <w:rPr>
          <w:spacing w:val="6"/>
        </w:rPr>
        <w:t xml:space="preserve"> </w:t>
      </w:r>
      <w:r w:rsidR="00AC63BE">
        <w:t>MEETING</w:t>
      </w:r>
      <w:r w:rsidR="00AC63BE">
        <w:rPr>
          <w:spacing w:val="5"/>
        </w:rPr>
        <w:t xml:space="preserve"> </w:t>
      </w:r>
      <w:r w:rsidR="00AC63BE">
        <w:t>HELD</w:t>
      </w:r>
      <w:r w:rsidR="00AC63BE">
        <w:rPr>
          <w:spacing w:val="22"/>
        </w:rPr>
        <w:t xml:space="preserve"> </w:t>
      </w:r>
      <w:r w:rsidR="00AC63BE">
        <w:t>at</w:t>
      </w:r>
      <w:r w:rsidR="00AC63BE">
        <w:rPr>
          <w:spacing w:val="15"/>
        </w:rPr>
        <w:t xml:space="preserve"> 9.15am on </w:t>
      </w:r>
      <w:r w:rsidR="00F1396F">
        <w:rPr>
          <w:spacing w:val="15"/>
        </w:rPr>
        <w:t>16 May</w:t>
      </w:r>
      <w:r w:rsidR="00AC63BE">
        <w:rPr>
          <w:spacing w:val="15"/>
        </w:rPr>
        <w:t xml:space="preserve"> at </w:t>
      </w:r>
      <w:r w:rsidR="00AC63BE">
        <w:t>NEW</w:t>
      </w:r>
      <w:r w:rsidR="00AC63BE">
        <w:rPr>
          <w:spacing w:val="17"/>
        </w:rPr>
        <w:t xml:space="preserve"> </w:t>
      </w:r>
      <w:r w:rsidR="00AC63BE">
        <w:t>END</w:t>
      </w:r>
      <w:r w:rsidR="00AC63BE">
        <w:rPr>
          <w:spacing w:val="7"/>
        </w:rPr>
        <w:t xml:space="preserve"> </w:t>
      </w:r>
      <w:r w:rsidR="00AC63BE">
        <w:t>PRIMARY</w:t>
      </w:r>
      <w:r w:rsidR="00AC63BE">
        <w:rPr>
          <w:spacing w:val="3"/>
        </w:rPr>
        <w:t xml:space="preserve"> </w:t>
      </w:r>
      <w:r w:rsidR="00AC63BE">
        <w:rPr>
          <w:spacing w:val="-2"/>
        </w:rPr>
        <w:t>SCHOOL</w:t>
      </w:r>
    </w:p>
    <w:p w14:paraId="3E26B2CB" w14:textId="78709EB8" w:rsidR="00405273" w:rsidRPr="00A329BA" w:rsidRDefault="00405273" w:rsidP="00AC63BE">
      <w:pPr>
        <w:rPr>
          <w:rFonts w:asciiTheme="minorHAnsi" w:hAnsiTheme="minorHAnsi"/>
          <w:sz w:val="24"/>
          <w:szCs w:val="24"/>
        </w:rPr>
      </w:pPr>
    </w:p>
    <w:tbl>
      <w:tblPr>
        <w:tblStyle w:val="TableGrid"/>
        <w:tblW w:w="8931" w:type="dxa"/>
        <w:tblInd w:w="-5" w:type="dxa"/>
        <w:tblLayout w:type="fixed"/>
        <w:tblLook w:val="04A0" w:firstRow="1" w:lastRow="0" w:firstColumn="1" w:lastColumn="0" w:noHBand="0" w:noVBand="1"/>
      </w:tblPr>
      <w:tblGrid>
        <w:gridCol w:w="577"/>
        <w:gridCol w:w="992"/>
        <w:gridCol w:w="1985"/>
        <w:gridCol w:w="5377"/>
      </w:tblGrid>
      <w:tr w:rsidR="005C248B" w:rsidRPr="00D256CE" w14:paraId="70671F4A" w14:textId="77777777" w:rsidTr="00827D6C">
        <w:trPr>
          <w:trHeight w:val="327"/>
        </w:trPr>
        <w:tc>
          <w:tcPr>
            <w:tcW w:w="577" w:type="dxa"/>
            <w:tcBorders>
              <w:left w:val="single" w:sz="4" w:space="0" w:color="auto"/>
              <w:right w:val="single" w:sz="4" w:space="0" w:color="auto"/>
            </w:tcBorders>
          </w:tcPr>
          <w:p w14:paraId="14861083" w14:textId="77777777" w:rsidR="005C248B" w:rsidRPr="00D256CE" w:rsidRDefault="005C248B" w:rsidP="00AC63BE">
            <w:pPr>
              <w:rPr>
                <w:rFonts w:asciiTheme="minorHAnsi" w:hAnsiTheme="minorHAnsi" w:cstheme="minorHAnsi"/>
              </w:rPr>
            </w:pPr>
          </w:p>
        </w:tc>
        <w:tc>
          <w:tcPr>
            <w:tcW w:w="992" w:type="dxa"/>
            <w:tcBorders>
              <w:left w:val="single" w:sz="4" w:space="0" w:color="auto"/>
              <w:right w:val="single" w:sz="4" w:space="0" w:color="auto"/>
            </w:tcBorders>
            <w:vAlign w:val="center"/>
          </w:tcPr>
          <w:p w14:paraId="763437B8" w14:textId="77777777" w:rsidR="005C248B" w:rsidRPr="00D256CE" w:rsidRDefault="005C248B" w:rsidP="00AC63BE">
            <w:pPr>
              <w:rPr>
                <w:rFonts w:asciiTheme="minorHAnsi" w:hAnsiTheme="minorHAnsi" w:cstheme="minorHAnsi"/>
              </w:rPr>
            </w:pPr>
          </w:p>
        </w:tc>
        <w:tc>
          <w:tcPr>
            <w:tcW w:w="1985" w:type="dxa"/>
            <w:vAlign w:val="center"/>
          </w:tcPr>
          <w:p w14:paraId="4C4A8EA5" w14:textId="77777777" w:rsidR="005C248B" w:rsidRPr="00D256CE" w:rsidRDefault="005C248B" w:rsidP="00AC63BE">
            <w:pPr>
              <w:rPr>
                <w:rFonts w:asciiTheme="minorHAnsi" w:hAnsiTheme="minorHAnsi" w:cstheme="minorHAnsi"/>
              </w:rPr>
            </w:pPr>
            <w:r w:rsidRPr="00D256CE">
              <w:rPr>
                <w:rFonts w:asciiTheme="minorHAnsi" w:hAnsiTheme="minorHAnsi" w:cstheme="minorHAnsi"/>
              </w:rPr>
              <w:t>Name</w:t>
            </w:r>
          </w:p>
        </w:tc>
        <w:tc>
          <w:tcPr>
            <w:tcW w:w="5377" w:type="dxa"/>
            <w:vAlign w:val="center"/>
          </w:tcPr>
          <w:p w14:paraId="634F3312" w14:textId="77777777" w:rsidR="005C248B" w:rsidRPr="00D256CE" w:rsidRDefault="005C248B" w:rsidP="00AC63BE">
            <w:pPr>
              <w:rPr>
                <w:rFonts w:asciiTheme="minorHAnsi" w:hAnsiTheme="minorHAnsi" w:cstheme="minorHAnsi"/>
              </w:rPr>
            </w:pPr>
            <w:r w:rsidRPr="00D256CE">
              <w:rPr>
                <w:rFonts w:asciiTheme="minorHAnsi" w:hAnsiTheme="minorHAnsi" w:cstheme="minorHAnsi"/>
              </w:rPr>
              <w:t>Post</w:t>
            </w:r>
          </w:p>
        </w:tc>
      </w:tr>
      <w:tr w:rsidR="005C248B" w:rsidRPr="00D256CE" w14:paraId="3B8BECA6" w14:textId="77777777" w:rsidTr="00827D6C">
        <w:trPr>
          <w:trHeight w:val="259"/>
        </w:trPr>
        <w:tc>
          <w:tcPr>
            <w:tcW w:w="577" w:type="dxa"/>
            <w:tcBorders>
              <w:left w:val="single" w:sz="4" w:space="0" w:color="auto"/>
              <w:right w:val="single" w:sz="4" w:space="0" w:color="auto"/>
            </w:tcBorders>
          </w:tcPr>
          <w:p w14:paraId="082C25BA" w14:textId="77777777" w:rsidR="005C248B" w:rsidRPr="00D256CE" w:rsidRDefault="005C248B" w:rsidP="00AC63BE">
            <w:pPr>
              <w:rPr>
                <w:rFonts w:asciiTheme="minorHAnsi" w:hAnsiTheme="minorHAnsi" w:cstheme="minorHAnsi"/>
              </w:rPr>
            </w:pPr>
          </w:p>
        </w:tc>
        <w:tc>
          <w:tcPr>
            <w:tcW w:w="992" w:type="dxa"/>
            <w:tcBorders>
              <w:left w:val="single" w:sz="4" w:space="0" w:color="auto"/>
              <w:right w:val="single" w:sz="4" w:space="0" w:color="auto"/>
            </w:tcBorders>
            <w:vAlign w:val="center"/>
          </w:tcPr>
          <w:p w14:paraId="20B0149C" w14:textId="70468B75" w:rsidR="005C248B" w:rsidRPr="00D256CE" w:rsidRDefault="005C248B" w:rsidP="00AC63BE">
            <w:pPr>
              <w:rPr>
                <w:rFonts w:asciiTheme="minorHAnsi" w:hAnsiTheme="minorHAnsi" w:cstheme="minorHAnsi"/>
                <w:bCs/>
              </w:rPr>
            </w:pPr>
            <w:r>
              <w:rPr>
                <w:rFonts w:asciiTheme="minorHAnsi" w:hAnsiTheme="minorHAnsi" w:cstheme="minorHAnsi"/>
                <w:bCs/>
              </w:rPr>
              <w:t>HA</w:t>
            </w:r>
          </w:p>
        </w:tc>
        <w:tc>
          <w:tcPr>
            <w:tcW w:w="1985" w:type="dxa"/>
            <w:vAlign w:val="center"/>
          </w:tcPr>
          <w:p w14:paraId="1E135574" w14:textId="1682DF36" w:rsidR="005C248B" w:rsidRPr="00D256CE" w:rsidRDefault="005C248B" w:rsidP="00AC63BE">
            <w:pPr>
              <w:rPr>
                <w:rFonts w:asciiTheme="minorHAnsi" w:hAnsiTheme="minorHAnsi" w:cstheme="minorHAnsi"/>
              </w:rPr>
            </w:pPr>
            <w:r>
              <w:rPr>
                <w:rFonts w:asciiTheme="minorHAnsi" w:hAnsiTheme="minorHAnsi" w:cstheme="minorHAnsi"/>
              </w:rPr>
              <w:t>Helen Andrews</w:t>
            </w:r>
          </w:p>
        </w:tc>
        <w:tc>
          <w:tcPr>
            <w:tcW w:w="5377" w:type="dxa"/>
            <w:vAlign w:val="center"/>
          </w:tcPr>
          <w:p w14:paraId="66C20021" w14:textId="360CEA68" w:rsidR="005C248B" w:rsidRPr="00D256CE" w:rsidRDefault="005C248B" w:rsidP="00AC63BE">
            <w:pPr>
              <w:rPr>
                <w:rFonts w:asciiTheme="minorHAnsi" w:hAnsiTheme="minorHAnsi" w:cstheme="minorHAnsi"/>
              </w:rPr>
            </w:pPr>
            <w:r w:rsidRPr="00D256CE">
              <w:rPr>
                <w:rFonts w:asciiTheme="minorHAnsi" w:hAnsiTheme="minorHAnsi" w:cstheme="minorHAnsi"/>
              </w:rPr>
              <w:t>Chair</w:t>
            </w:r>
            <w:r>
              <w:rPr>
                <w:rFonts w:asciiTheme="minorHAnsi" w:hAnsiTheme="minorHAnsi" w:cstheme="minorHAnsi"/>
              </w:rPr>
              <w:t>, Co-opted Governor</w:t>
            </w:r>
          </w:p>
        </w:tc>
      </w:tr>
      <w:tr w:rsidR="005C248B" w:rsidRPr="00D256CE" w14:paraId="3B2BF009" w14:textId="77777777" w:rsidTr="00827D6C">
        <w:tc>
          <w:tcPr>
            <w:tcW w:w="577" w:type="dxa"/>
            <w:tcBorders>
              <w:left w:val="single" w:sz="4" w:space="0" w:color="auto"/>
              <w:right w:val="single" w:sz="4" w:space="0" w:color="auto"/>
            </w:tcBorders>
          </w:tcPr>
          <w:p w14:paraId="2FB84670" w14:textId="77777777" w:rsidR="005C248B" w:rsidRPr="00D256CE" w:rsidRDefault="005C248B" w:rsidP="00AC63BE">
            <w:pPr>
              <w:rPr>
                <w:rFonts w:asciiTheme="minorHAnsi" w:hAnsiTheme="minorHAnsi" w:cstheme="minorHAnsi"/>
              </w:rPr>
            </w:pPr>
          </w:p>
        </w:tc>
        <w:tc>
          <w:tcPr>
            <w:tcW w:w="992" w:type="dxa"/>
            <w:tcBorders>
              <w:left w:val="single" w:sz="4" w:space="0" w:color="auto"/>
              <w:right w:val="single" w:sz="4" w:space="0" w:color="auto"/>
            </w:tcBorders>
            <w:vAlign w:val="center"/>
          </w:tcPr>
          <w:p w14:paraId="4B730F8E" w14:textId="77777777" w:rsidR="005C248B" w:rsidRPr="00D256CE" w:rsidRDefault="005C248B" w:rsidP="00AC63BE">
            <w:pPr>
              <w:rPr>
                <w:rFonts w:asciiTheme="minorHAnsi" w:hAnsiTheme="minorHAnsi" w:cstheme="minorHAnsi"/>
                <w:bCs/>
              </w:rPr>
            </w:pPr>
            <w:r w:rsidRPr="00D256CE">
              <w:rPr>
                <w:rFonts w:asciiTheme="minorHAnsi" w:hAnsiTheme="minorHAnsi" w:cstheme="minorHAnsi"/>
                <w:bCs/>
              </w:rPr>
              <w:t xml:space="preserve"> VZ</w:t>
            </w:r>
          </w:p>
        </w:tc>
        <w:tc>
          <w:tcPr>
            <w:tcW w:w="1985" w:type="dxa"/>
            <w:vAlign w:val="center"/>
          </w:tcPr>
          <w:p w14:paraId="18289567" w14:textId="77777777" w:rsidR="005C248B" w:rsidRPr="00D256CE" w:rsidRDefault="005C248B" w:rsidP="00AC63BE">
            <w:pPr>
              <w:rPr>
                <w:rFonts w:asciiTheme="minorHAnsi" w:hAnsiTheme="minorHAnsi" w:cstheme="minorHAnsi"/>
              </w:rPr>
            </w:pPr>
            <w:r w:rsidRPr="00D256CE">
              <w:rPr>
                <w:rFonts w:asciiTheme="minorHAnsi" w:hAnsiTheme="minorHAnsi" w:cstheme="minorHAnsi"/>
              </w:rPr>
              <w:t>Vassilis Zarifis</w:t>
            </w:r>
          </w:p>
        </w:tc>
        <w:tc>
          <w:tcPr>
            <w:tcW w:w="5377" w:type="dxa"/>
            <w:vAlign w:val="center"/>
          </w:tcPr>
          <w:p w14:paraId="67F84996" w14:textId="70AEDAC0" w:rsidR="005C248B" w:rsidRPr="00D256CE" w:rsidRDefault="005C248B" w:rsidP="00AC63BE">
            <w:pPr>
              <w:rPr>
                <w:rFonts w:asciiTheme="minorHAnsi" w:hAnsiTheme="minorHAnsi" w:cstheme="minorHAnsi"/>
              </w:rPr>
            </w:pPr>
            <w:r w:rsidRPr="00D256CE">
              <w:rPr>
                <w:rFonts w:asciiTheme="minorHAnsi" w:hAnsiTheme="minorHAnsi" w:cstheme="minorHAnsi"/>
              </w:rPr>
              <w:t xml:space="preserve">Co-opted Governor, Chair of </w:t>
            </w:r>
            <w:r>
              <w:rPr>
                <w:rFonts w:asciiTheme="minorHAnsi" w:hAnsiTheme="minorHAnsi" w:cstheme="minorHAnsi"/>
              </w:rPr>
              <w:t xml:space="preserve">Finance, Staffing and Premises </w:t>
            </w:r>
            <w:r w:rsidRPr="00D256CE">
              <w:rPr>
                <w:rFonts w:asciiTheme="minorHAnsi" w:hAnsiTheme="minorHAnsi" w:cstheme="minorHAnsi"/>
              </w:rPr>
              <w:t>Committee</w:t>
            </w:r>
          </w:p>
        </w:tc>
      </w:tr>
      <w:tr w:rsidR="005C248B" w:rsidRPr="00D256CE" w14:paraId="035649A5" w14:textId="77777777" w:rsidTr="00827D6C">
        <w:tc>
          <w:tcPr>
            <w:tcW w:w="577" w:type="dxa"/>
            <w:tcBorders>
              <w:left w:val="single" w:sz="4" w:space="0" w:color="auto"/>
              <w:right w:val="single" w:sz="4" w:space="0" w:color="auto"/>
            </w:tcBorders>
          </w:tcPr>
          <w:p w14:paraId="5A1FFEFE" w14:textId="77777777" w:rsidR="005C248B" w:rsidRPr="00D256CE" w:rsidRDefault="005C248B" w:rsidP="00AC63BE">
            <w:pPr>
              <w:rPr>
                <w:rFonts w:asciiTheme="minorHAnsi" w:hAnsiTheme="minorHAnsi" w:cstheme="minorHAnsi"/>
              </w:rPr>
            </w:pPr>
            <w:r w:rsidRPr="00D256CE">
              <w:rPr>
                <w:rFonts w:asciiTheme="minorHAnsi" w:hAnsiTheme="minorHAnsi" w:cstheme="minorHAnsi"/>
              </w:rPr>
              <w:t xml:space="preserve"> </w:t>
            </w:r>
          </w:p>
        </w:tc>
        <w:tc>
          <w:tcPr>
            <w:tcW w:w="992" w:type="dxa"/>
            <w:tcBorders>
              <w:left w:val="single" w:sz="4" w:space="0" w:color="auto"/>
              <w:right w:val="single" w:sz="4" w:space="0" w:color="auto"/>
            </w:tcBorders>
            <w:vAlign w:val="center"/>
          </w:tcPr>
          <w:p w14:paraId="18863223" w14:textId="77777777" w:rsidR="005C248B" w:rsidRPr="00D256CE" w:rsidRDefault="005C248B" w:rsidP="00AC63BE">
            <w:pPr>
              <w:rPr>
                <w:rFonts w:asciiTheme="minorHAnsi" w:hAnsiTheme="minorHAnsi" w:cstheme="minorHAnsi"/>
                <w:bCs/>
              </w:rPr>
            </w:pPr>
            <w:r w:rsidRPr="00D256CE">
              <w:rPr>
                <w:rFonts w:asciiTheme="minorHAnsi" w:hAnsiTheme="minorHAnsi" w:cstheme="minorHAnsi"/>
                <w:bCs/>
              </w:rPr>
              <w:t xml:space="preserve"> HT</w:t>
            </w:r>
          </w:p>
        </w:tc>
        <w:tc>
          <w:tcPr>
            <w:tcW w:w="1985" w:type="dxa"/>
            <w:vAlign w:val="center"/>
          </w:tcPr>
          <w:p w14:paraId="6F3E36B6" w14:textId="77777777" w:rsidR="005C248B" w:rsidRPr="00D256CE" w:rsidRDefault="005C248B" w:rsidP="00AC63BE">
            <w:pPr>
              <w:rPr>
                <w:rFonts w:asciiTheme="minorHAnsi" w:hAnsiTheme="minorHAnsi" w:cstheme="minorHAnsi"/>
              </w:rPr>
            </w:pPr>
            <w:r w:rsidRPr="00D256CE">
              <w:rPr>
                <w:rFonts w:asciiTheme="minorHAnsi" w:hAnsiTheme="minorHAnsi" w:cstheme="minorHAnsi"/>
              </w:rPr>
              <w:t>Karyn Ray</w:t>
            </w:r>
          </w:p>
        </w:tc>
        <w:tc>
          <w:tcPr>
            <w:tcW w:w="5377" w:type="dxa"/>
            <w:vAlign w:val="center"/>
          </w:tcPr>
          <w:p w14:paraId="40C5E7B1" w14:textId="77777777" w:rsidR="005C248B" w:rsidRPr="00D256CE" w:rsidRDefault="005C248B" w:rsidP="00AC63BE">
            <w:pPr>
              <w:rPr>
                <w:rFonts w:asciiTheme="minorHAnsi" w:hAnsiTheme="minorHAnsi" w:cstheme="minorHAnsi"/>
              </w:rPr>
            </w:pPr>
            <w:r w:rsidRPr="00D256CE">
              <w:rPr>
                <w:rFonts w:asciiTheme="minorHAnsi" w:hAnsiTheme="minorHAnsi" w:cstheme="minorHAnsi"/>
              </w:rPr>
              <w:t>Headteacher, Ex-Officio</w:t>
            </w:r>
          </w:p>
        </w:tc>
      </w:tr>
      <w:tr w:rsidR="005C248B" w:rsidRPr="00D256CE" w14:paraId="0039F5E2" w14:textId="77777777" w:rsidTr="00827D6C">
        <w:tc>
          <w:tcPr>
            <w:tcW w:w="577" w:type="dxa"/>
            <w:tcBorders>
              <w:left w:val="single" w:sz="4" w:space="0" w:color="auto"/>
              <w:right w:val="single" w:sz="4" w:space="0" w:color="auto"/>
            </w:tcBorders>
          </w:tcPr>
          <w:p w14:paraId="6AF8721B" w14:textId="376D4414" w:rsidR="005C248B" w:rsidRPr="00D256CE" w:rsidRDefault="007C1C2D" w:rsidP="00AC63BE">
            <w:pPr>
              <w:rPr>
                <w:rFonts w:asciiTheme="minorHAnsi" w:hAnsiTheme="minorHAnsi" w:cstheme="minorHAnsi"/>
              </w:rPr>
            </w:pPr>
            <w:r>
              <w:rPr>
                <w:rFonts w:asciiTheme="minorHAnsi" w:hAnsiTheme="minorHAnsi" w:cstheme="minorHAnsi"/>
              </w:rPr>
              <w:t>Absent</w:t>
            </w:r>
          </w:p>
        </w:tc>
        <w:tc>
          <w:tcPr>
            <w:tcW w:w="992" w:type="dxa"/>
            <w:tcBorders>
              <w:left w:val="single" w:sz="4" w:space="0" w:color="auto"/>
              <w:right w:val="single" w:sz="4" w:space="0" w:color="auto"/>
            </w:tcBorders>
            <w:vAlign w:val="center"/>
          </w:tcPr>
          <w:p w14:paraId="583E6BBF" w14:textId="77777777" w:rsidR="005C248B" w:rsidRPr="00E56FF1" w:rsidRDefault="005C248B" w:rsidP="00AC63BE">
            <w:pPr>
              <w:rPr>
                <w:rFonts w:asciiTheme="minorHAnsi" w:hAnsiTheme="minorHAnsi" w:cstheme="minorHAnsi"/>
                <w:bCs/>
              </w:rPr>
            </w:pPr>
            <w:r w:rsidRPr="00E56FF1">
              <w:rPr>
                <w:rFonts w:asciiTheme="minorHAnsi" w:hAnsiTheme="minorHAnsi" w:cstheme="minorHAnsi"/>
                <w:bCs/>
              </w:rPr>
              <w:t xml:space="preserve"> SS</w:t>
            </w:r>
          </w:p>
        </w:tc>
        <w:tc>
          <w:tcPr>
            <w:tcW w:w="1985" w:type="dxa"/>
            <w:vAlign w:val="center"/>
          </w:tcPr>
          <w:p w14:paraId="6DB8547A"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Stephen Stark</w:t>
            </w:r>
          </w:p>
        </w:tc>
        <w:tc>
          <w:tcPr>
            <w:tcW w:w="5377" w:type="dxa"/>
            <w:vAlign w:val="center"/>
          </w:tcPr>
          <w:p w14:paraId="538DC135"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LA Governor</w:t>
            </w:r>
          </w:p>
        </w:tc>
      </w:tr>
      <w:tr w:rsidR="005C248B" w:rsidRPr="00D256CE" w14:paraId="62AC75F0" w14:textId="77777777" w:rsidTr="00827D6C">
        <w:tc>
          <w:tcPr>
            <w:tcW w:w="577" w:type="dxa"/>
            <w:tcBorders>
              <w:left w:val="single" w:sz="4" w:space="0" w:color="auto"/>
              <w:right w:val="single" w:sz="4" w:space="0" w:color="auto"/>
            </w:tcBorders>
          </w:tcPr>
          <w:p w14:paraId="28299B9A" w14:textId="77777777" w:rsidR="005C248B" w:rsidRPr="00D256CE" w:rsidRDefault="005C248B" w:rsidP="00AC63BE">
            <w:pPr>
              <w:rPr>
                <w:rFonts w:asciiTheme="minorHAnsi" w:hAnsiTheme="minorHAnsi" w:cstheme="minorHAnsi"/>
              </w:rPr>
            </w:pPr>
            <w:r>
              <w:rPr>
                <w:rFonts w:asciiTheme="minorHAnsi" w:hAnsiTheme="minorHAnsi" w:cstheme="minorHAnsi"/>
              </w:rPr>
              <w:t xml:space="preserve"> </w:t>
            </w:r>
          </w:p>
        </w:tc>
        <w:tc>
          <w:tcPr>
            <w:tcW w:w="992" w:type="dxa"/>
            <w:tcBorders>
              <w:left w:val="single" w:sz="4" w:space="0" w:color="auto"/>
              <w:right w:val="single" w:sz="4" w:space="0" w:color="auto"/>
            </w:tcBorders>
            <w:vAlign w:val="center"/>
          </w:tcPr>
          <w:p w14:paraId="5F4337C3" w14:textId="77777777" w:rsidR="005C248B" w:rsidRPr="00E56FF1" w:rsidRDefault="005C248B" w:rsidP="00AC63BE">
            <w:pPr>
              <w:rPr>
                <w:rFonts w:asciiTheme="minorHAnsi" w:hAnsiTheme="minorHAnsi" w:cstheme="minorHAnsi"/>
                <w:bCs/>
              </w:rPr>
            </w:pPr>
            <w:r w:rsidRPr="00E56FF1">
              <w:rPr>
                <w:rFonts w:asciiTheme="minorHAnsi" w:hAnsiTheme="minorHAnsi" w:cstheme="minorHAnsi"/>
                <w:bCs/>
              </w:rPr>
              <w:t xml:space="preserve"> AG</w:t>
            </w:r>
          </w:p>
        </w:tc>
        <w:tc>
          <w:tcPr>
            <w:tcW w:w="1985" w:type="dxa"/>
            <w:vAlign w:val="center"/>
          </w:tcPr>
          <w:p w14:paraId="30BF255C"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Alan Girling</w:t>
            </w:r>
          </w:p>
        </w:tc>
        <w:tc>
          <w:tcPr>
            <w:tcW w:w="5377" w:type="dxa"/>
            <w:vAlign w:val="center"/>
          </w:tcPr>
          <w:p w14:paraId="3008F504"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DHT, Associate Governor</w:t>
            </w:r>
          </w:p>
        </w:tc>
      </w:tr>
      <w:tr w:rsidR="005C248B" w:rsidRPr="00D256CE" w14:paraId="52146396" w14:textId="77777777" w:rsidTr="00827D6C">
        <w:trPr>
          <w:trHeight w:val="46"/>
        </w:trPr>
        <w:tc>
          <w:tcPr>
            <w:tcW w:w="577" w:type="dxa"/>
            <w:tcBorders>
              <w:top w:val="single" w:sz="4" w:space="0" w:color="auto"/>
              <w:left w:val="single" w:sz="4" w:space="0" w:color="auto"/>
              <w:bottom w:val="single" w:sz="4" w:space="0" w:color="auto"/>
              <w:right w:val="single" w:sz="4" w:space="0" w:color="auto"/>
            </w:tcBorders>
          </w:tcPr>
          <w:p w14:paraId="19ADEF26" w14:textId="77777777" w:rsidR="005C248B" w:rsidRPr="00D256CE" w:rsidRDefault="005C248B" w:rsidP="00AC63BE">
            <w:pPr>
              <w:rPr>
                <w:rFonts w:asciiTheme="minorHAnsi" w:hAnsiTheme="minorHAnsi" w:cstheme="minorHAnsi"/>
              </w:rPr>
            </w:pPr>
            <w:r>
              <w:rPr>
                <w:rFonts w:asciiTheme="minorHAnsi" w:hAnsiTheme="minorHAnsi" w:cstheme="minorHAnsi"/>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0BC37C2" w14:textId="77777777" w:rsidR="005C248B" w:rsidRPr="00E56FF1" w:rsidRDefault="005C248B" w:rsidP="00AC63BE">
            <w:pPr>
              <w:rPr>
                <w:rFonts w:asciiTheme="minorHAnsi" w:hAnsiTheme="minorHAnsi" w:cstheme="minorHAnsi"/>
                <w:bCs/>
              </w:rPr>
            </w:pPr>
            <w:r w:rsidRPr="00E56FF1">
              <w:rPr>
                <w:rFonts w:asciiTheme="minorHAnsi" w:hAnsiTheme="minorHAnsi" w:cstheme="minorHAnsi"/>
                <w:bCs/>
              </w:rPr>
              <w:t>JB</w:t>
            </w:r>
          </w:p>
        </w:tc>
        <w:tc>
          <w:tcPr>
            <w:tcW w:w="1985" w:type="dxa"/>
            <w:tcBorders>
              <w:top w:val="single" w:sz="4" w:space="0" w:color="auto"/>
              <w:left w:val="single" w:sz="4" w:space="0" w:color="auto"/>
              <w:bottom w:val="single" w:sz="4" w:space="0" w:color="auto"/>
            </w:tcBorders>
            <w:vAlign w:val="center"/>
          </w:tcPr>
          <w:p w14:paraId="0FB3D4BD"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Juliette Bearman</w:t>
            </w:r>
          </w:p>
        </w:tc>
        <w:tc>
          <w:tcPr>
            <w:tcW w:w="5377" w:type="dxa"/>
            <w:tcBorders>
              <w:top w:val="single" w:sz="4" w:space="0" w:color="auto"/>
              <w:bottom w:val="single" w:sz="4" w:space="0" w:color="auto"/>
            </w:tcBorders>
            <w:vAlign w:val="center"/>
          </w:tcPr>
          <w:p w14:paraId="00F5002D"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Parent Governor</w:t>
            </w:r>
          </w:p>
        </w:tc>
      </w:tr>
      <w:tr w:rsidR="005C248B" w:rsidRPr="00D256CE" w14:paraId="2FA6AFF6" w14:textId="77777777" w:rsidTr="00827D6C">
        <w:trPr>
          <w:trHeight w:val="46"/>
        </w:trPr>
        <w:tc>
          <w:tcPr>
            <w:tcW w:w="577" w:type="dxa"/>
            <w:tcBorders>
              <w:top w:val="single" w:sz="4" w:space="0" w:color="auto"/>
              <w:left w:val="single" w:sz="4" w:space="0" w:color="auto"/>
              <w:bottom w:val="single" w:sz="4" w:space="0" w:color="auto"/>
              <w:right w:val="single" w:sz="4" w:space="0" w:color="auto"/>
            </w:tcBorders>
          </w:tcPr>
          <w:p w14:paraId="131526C8" w14:textId="77777777" w:rsidR="005C248B" w:rsidRPr="00D256CE" w:rsidRDefault="005C248B" w:rsidP="00AC63BE">
            <w:pP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vAlign w:val="center"/>
          </w:tcPr>
          <w:p w14:paraId="2D7D9269" w14:textId="77777777" w:rsidR="005C248B" w:rsidRPr="00E56FF1" w:rsidRDefault="005C248B" w:rsidP="00AC63BE">
            <w:pPr>
              <w:rPr>
                <w:rFonts w:asciiTheme="minorHAnsi" w:hAnsiTheme="minorHAnsi" w:cstheme="minorHAnsi"/>
                <w:bCs/>
              </w:rPr>
            </w:pPr>
            <w:r w:rsidRPr="00E56FF1">
              <w:rPr>
                <w:rFonts w:asciiTheme="minorHAnsi" w:hAnsiTheme="minorHAnsi" w:cstheme="minorHAnsi"/>
                <w:bCs/>
              </w:rPr>
              <w:t>CL</w:t>
            </w:r>
          </w:p>
        </w:tc>
        <w:tc>
          <w:tcPr>
            <w:tcW w:w="1985" w:type="dxa"/>
            <w:tcBorders>
              <w:top w:val="single" w:sz="4" w:space="0" w:color="auto"/>
              <w:left w:val="single" w:sz="4" w:space="0" w:color="auto"/>
              <w:bottom w:val="single" w:sz="4" w:space="0" w:color="auto"/>
            </w:tcBorders>
            <w:vAlign w:val="center"/>
          </w:tcPr>
          <w:p w14:paraId="4566921F"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Catherine Levin</w:t>
            </w:r>
          </w:p>
        </w:tc>
        <w:tc>
          <w:tcPr>
            <w:tcW w:w="5377" w:type="dxa"/>
            <w:tcBorders>
              <w:top w:val="single" w:sz="4" w:space="0" w:color="auto"/>
              <w:bottom w:val="single" w:sz="4" w:space="0" w:color="auto"/>
            </w:tcBorders>
            <w:vAlign w:val="center"/>
          </w:tcPr>
          <w:p w14:paraId="0B009026"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Co-opted Governor</w:t>
            </w:r>
          </w:p>
        </w:tc>
      </w:tr>
      <w:tr w:rsidR="005C248B" w:rsidRPr="00D256CE" w14:paraId="320BF150" w14:textId="77777777" w:rsidTr="00827D6C">
        <w:trPr>
          <w:trHeight w:val="46"/>
        </w:trPr>
        <w:tc>
          <w:tcPr>
            <w:tcW w:w="577" w:type="dxa"/>
            <w:tcBorders>
              <w:top w:val="single" w:sz="4" w:space="0" w:color="auto"/>
              <w:left w:val="single" w:sz="4" w:space="0" w:color="auto"/>
              <w:bottom w:val="single" w:sz="4" w:space="0" w:color="auto"/>
              <w:right w:val="single" w:sz="4" w:space="0" w:color="auto"/>
            </w:tcBorders>
          </w:tcPr>
          <w:p w14:paraId="66BFAC2A" w14:textId="77777777" w:rsidR="005C248B" w:rsidRPr="00D256CE" w:rsidRDefault="005C248B" w:rsidP="00AC63BE">
            <w:pPr>
              <w:rPr>
                <w:rFonts w:asciiTheme="minorHAnsi" w:hAnsiTheme="minorHAnsi" w:cstheme="minorHAnsi"/>
              </w:rPr>
            </w:pPr>
            <w:r>
              <w:rPr>
                <w:rFonts w:asciiTheme="minorHAnsi" w:hAnsiTheme="minorHAnsi" w:cstheme="minorHAnsi"/>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23CC79C" w14:textId="77777777" w:rsidR="005C248B" w:rsidRPr="00E56FF1" w:rsidRDefault="005C248B" w:rsidP="00AC63BE">
            <w:pPr>
              <w:rPr>
                <w:rFonts w:asciiTheme="minorHAnsi" w:hAnsiTheme="minorHAnsi" w:cstheme="minorHAnsi"/>
                <w:bCs/>
              </w:rPr>
            </w:pPr>
            <w:r w:rsidRPr="00E56FF1">
              <w:rPr>
                <w:rFonts w:asciiTheme="minorHAnsi" w:hAnsiTheme="minorHAnsi" w:cstheme="minorHAnsi"/>
                <w:bCs/>
              </w:rPr>
              <w:t>PQ</w:t>
            </w:r>
          </w:p>
        </w:tc>
        <w:tc>
          <w:tcPr>
            <w:tcW w:w="1985" w:type="dxa"/>
            <w:tcBorders>
              <w:top w:val="single" w:sz="4" w:space="0" w:color="auto"/>
              <w:left w:val="single" w:sz="4" w:space="0" w:color="auto"/>
              <w:bottom w:val="single" w:sz="4" w:space="0" w:color="auto"/>
            </w:tcBorders>
            <w:vAlign w:val="center"/>
          </w:tcPr>
          <w:p w14:paraId="50C28B48"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Philip Quinn</w:t>
            </w:r>
          </w:p>
        </w:tc>
        <w:tc>
          <w:tcPr>
            <w:tcW w:w="5377" w:type="dxa"/>
            <w:tcBorders>
              <w:top w:val="single" w:sz="4" w:space="0" w:color="auto"/>
              <w:bottom w:val="single" w:sz="4" w:space="0" w:color="auto"/>
            </w:tcBorders>
            <w:vAlign w:val="center"/>
          </w:tcPr>
          <w:p w14:paraId="52661A4E"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Co-opted Governor</w:t>
            </w:r>
          </w:p>
        </w:tc>
      </w:tr>
      <w:tr w:rsidR="005C248B" w:rsidRPr="00D256CE" w14:paraId="7483623E" w14:textId="77777777" w:rsidTr="00827D6C">
        <w:trPr>
          <w:trHeight w:val="46"/>
        </w:trPr>
        <w:tc>
          <w:tcPr>
            <w:tcW w:w="577" w:type="dxa"/>
            <w:tcBorders>
              <w:top w:val="single" w:sz="4" w:space="0" w:color="auto"/>
              <w:left w:val="single" w:sz="4" w:space="0" w:color="auto"/>
              <w:bottom w:val="single" w:sz="4" w:space="0" w:color="auto"/>
              <w:right w:val="single" w:sz="4" w:space="0" w:color="auto"/>
            </w:tcBorders>
          </w:tcPr>
          <w:p w14:paraId="0B1BCB10" w14:textId="77777777" w:rsidR="005C248B" w:rsidRPr="00D256CE" w:rsidRDefault="005C248B" w:rsidP="00AC63BE">
            <w:pP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vAlign w:val="center"/>
          </w:tcPr>
          <w:p w14:paraId="4449E314" w14:textId="77777777" w:rsidR="005C248B" w:rsidRPr="00E56FF1" w:rsidRDefault="005C248B" w:rsidP="00AC63BE">
            <w:pPr>
              <w:rPr>
                <w:rFonts w:asciiTheme="minorHAnsi" w:hAnsiTheme="minorHAnsi" w:cstheme="minorHAnsi"/>
                <w:bCs/>
              </w:rPr>
            </w:pPr>
            <w:r w:rsidRPr="00E56FF1">
              <w:rPr>
                <w:rFonts w:asciiTheme="minorHAnsi" w:hAnsiTheme="minorHAnsi" w:cstheme="minorHAnsi"/>
                <w:bCs/>
              </w:rPr>
              <w:t>AC</w:t>
            </w:r>
          </w:p>
        </w:tc>
        <w:tc>
          <w:tcPr>
            <w:tcW w:w="1985" w:type="dxa"/>
            <w:tcBorders>
              <w:top w:val="single" w:sz="4" w:space="0" w:color="auto"/>
              <w:left w:val="single" w:sz="4" w:space="0" w:color="auto"/>
              <w:bottom w:val="single" w:sz="4" w:space="0" w:color="auto"/>
            </w:tcBorders>
            <w:vAlign w:val="center"/>
          </w:tcPr>
          <w:p w14:paraId="61994DEE"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Andreas Christodoulou</w:t>
            </w:r>
          </w:p>
        </w:tc>
        <w:tc>
          <w:tcPr>
            <w:tcW w:w="5377" w:type="dxa"/>
            <w:tcBorders>
              <w:top w:val="single" w:sz="4" w:space="0" w:color="auto"/>
              <w:bottom w:val="single" w:sz="4" w:space="0" w:color="auto"/>
            </w:tcBorders>
            <w:vAlign w:val="center"/>
          </w:tcPr>
          <w:p w14:paraId="514F913B"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Parent Governor</w:t>
            </w:r>
          </w:p>
        </w:tc>
      </w:tr>
      <w:tr w:rsidR="005C248B" w:rsidRPr="00D256CE" w14:paraId="10D70CD8" w14:textId="77777777" w:rsidTr="00827D6C">
        <w:trPr>
          <w:trHeight w:val="46"/>
        </w:trPr>
        <w:tc>
          <w:tcPr>
            <w:tcW w:w="577" w:type="dxa"/>
            <w:tcBorders>
              <w:top w:val="single" w:sz="4" w:space="0" w:color="auto"/>
              <w:left w:val="single" w:sz="4" w:space="0" w:color="auto"/>
              <w:bottom w:val="single" w:sz="4" w:space="0" w:color="auto"/>
              <w:right w:val="single" w:sz="4" w:space="0" w:color="auto"/>
            </w:tcBorders>
          </w:tcPr>
          <w:p w14:paraId="56612C1D" w14:textId="3C8E9415" w:rsidR="005C248B" w:rsidRPr="00D256CE" w:rsidRDefault="005C248B" w:rsidP="00AC63BE">
            <w:pP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vAlign w:val="center"/>
          </w:tcPr>
          <w:p w14:paraId="68E63DA8" w14:textId="0B2D44D6" w:rsidR="005C248B" w:rsidRDefault="005C248B" w:rsidP="00AC63BE">
            <w:pPr>
              <w:rPr>
                <w:rFonts w:asciiTheme="minorHAnsi" w:hAnsiTheme="minorHAnsi" w:cstheme="minorHAnsi"/>
                <w:bCs/>
              </w:rPr>
            </w:pPr>
            <w:r>
              <w:rPr>
                <w:rFonts w:asciiTheme="minorHAnsi" w:hAnsiTheme="minorHAnsi" w:cstheme="minorHAnsi"/>
                <w:bCs/>
              </w:rPr>
              <w:t>JC</w:t>
            </w:r>
          </w:p>
        </w:tc>
        <w:tc>
          <w:tcPr>
            <w:tcW w:w="1985" w:type="dxa"/>
            <w:tcBorders>
              <w:top w:val="single" w:sz="4" w:space="0" w:color="auto"/>
              <w:left w:val="single" w:sz="4" w:space="0" w:color="auto"/>
              <w:bottom w:val="single" w:sz="4" w:space="0" w:color="auto"/>
            </w:tcBorders>
            <w:vAlign w:val="center"/>
          </w:tcPr>
          <w:p w14:paraId="63D8502A" w14:textId="1CB89F8B" w:rsidR="005C248B" w:rsidRDefault="005C248B" w:rsidP="00AC63BE">
            <w:pPr>
              <w:rPr>
                <w:rFonts w:asciiTheme="minorHAnsi" w:hAnsiTheme="minorHAnsi" w:cstheme="minorHAnsi"/>
              </w:rPr>
            </w:pPr>
            <w:r>
              <w:rPr>
                <w:rFonts w:asciiTheme="minorHAnsi" w:hAnsiTheme="minorHAnsi" w:cstheme="minorHAnsi"/>
              </w:rPr>
              <w:t>Jane Crispin</w:t>
            </w:r>
          </w:p>
        </w:tc>
        <w:tc>
          <w:tcPr>
            <w:tcW w:w="5377" w:type="dxa"/>
            <w:tcBorders>
              <w:top w:val="single" w:sz="4" w:space="0" w:color="auto"/>
              <w:bottom w:val="single" w:sz="4" w:space="0" w:color="auto"/>
            </w:tcBorders>
            <w:vAlign w:val="center"/>
          </w:tcPr>
          <w:p w14:paraId="7C8837F1" w14:textId="1F645F0D" w:rsidR="005C248B" w:rsidRDefault="005C248B" w:rsidP="00AC63BE">
            <w:pPr>
              <w:rPr>
                <w:rFonts w:asciiTheme="minorHAnsi" w:hAnsiTheme="minorHAnsi" w:cstheme="minorHAnsi"/>
              </w:rPr>
            </w:pPr>
            <w:r>
              <w:rPr>
                <w:rFonts w:asciiTheme="minorHAnsi" w:hAnsiTheme="minorHAnsi" w:cstheme="minorHAnsi"/>
              </w:rPr>
              <w:t xml:space="preserve">Co-opted Governor </w:t>
            </w:r>
          </w:p>
        </w:tc>
      </w:tr>
      <w:tr w:rsidR="000F3061" w:rsidRPr="00D256CE" w14:paraId="4C088476" w14:textId="77777777" w:rsidTr="00827D6C">
        <w:trPr>
          <w:trHeight w:val="46"/>
        </w:trPr>
        <w:tc>
          <w:tcPr>
            <w:tcW w:w="577" w:type="dxa"/>
            <w:tcBorders>
              <w:top w:val="single" w:sz="4" w:space="0" w:color="auto"/>
              <w:left w:val="single" w:sz="4" w:space="0" w:color="auto"/>
              <w:bottom w:val="single" w:sz="4" w:space="0" w:color="auto"/>
              <w:right w:val="single" w:sz="4" w:space="0" w:color="auto"/>
            </w:tcBorders>
          </w:tcPr>
          <w:p w14:paraId="1672CAB3" w14:textId="77777777" w:rsidR="000F3061" w:rsidRPr="00D256CE" w:rsidRDefault="000F3061" w:rsidP="00AC63BE">
            <w:pP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vAlign w:val="center"/>
          </w:tcPr>
          <w:p w14:paraId="4CD6E4E8" w14:textId="4774933A" w:rsidR="000F3061" w:rsidRDefault="000F3061" w:rsidP="00AC63BE">
            <w:pPr>
              <w:rPr>
                <w:rFonts w:asciiTheme="minorHAnsi" w:hAnsiTheme="minorHAnsi" w:cstheme="minorHAnsi"/>
                <w:bCs/>
              </w:rPr>
            </w:pPr>
            <w:r>
              <w:rPr>
                <w:rFonts w:asciiTheme="minorHAnsi" w:hAnsiTheme="minorHAnsi" w:cstheme="minorHAnsi"/>
                <w:bCs/>
              </w:rPr>
              <w:t>HN</w:t>
            </w:r>
          </w:p>
        </w:tc>
        <w:tc>
          <w:tcPr>
            <w:tcW w:w="1985" w:type="dxa"/>
            <w:tcBorders>
              <w:top w:val="single" w:sz="4" w:space="0" w:color="auto"/>
              <w:left w:val="single" w:sz="4" w:space="0" w:color="auto"/>
              <w:bottom w:val="single" w:sz="4" w:space="0" w:color="auto"/>
            </w:tcBorders>
            <w:vAlign w:val="center"/>
          </w:tcPr>
          <w:p w14:paraId="6B1874BE" w14:textId="2735FD83" w:rsidR="000F3061" w:rsidRDefault="007303FF" w:rsidP="00AC63BE">
            <w:pPr>
              <w:rPr>
                <w:rFonts w:asciiTheme="minorHAnsi" w:hAnsiTheme="minorHAnsi" w:cstheme="minorHAnsi"/>
              </w:rPr>
            </w:pPr>
            <w:r>
              <w:rPr>
                <w:rFonts w:asciiTheme="minorHAnsi" w:hAnsiTheme="minorHAnsi" w:cstheme="minorHAnsi"/>
              </w:rPr>
              <w:t>Hunada</w:t>
            </w:r>
            <w:r w:rsidR="000F3061">
              <w:rPr>
                <w:rFonts w:asciiTheme="minorHAnsi" w:hAnsiTheme="minorHAnsi" w:cstheme="minorHAnsi"/>
              </w:rPr>
              <w:t xml:space="preserve"> Nouss</w:t>
            </w:r>
          </w:p>
        </w:tc>
        <w:tc>
          <w:tcPr>
            <w:tcW w:w="5377" w:type="dxa"/>
            <w:tcBorders>
              <w:top w:val="single" w:sz="4" w:space="0" w:color="auto"/>
              <w:bottom w:val="single" w:sz="4" w:space="0" w:color="auto"/>
            </w:tcBorders>
            <w:vAlign w:val="center"/>
          </w:tcPr>
          <w:p w14:paraId="24437C69" w14:textId="568459FE" w:rsidR="000F3061" w:rsidRDefault="000F3061" w:rsidP="00AC63BE">
            <w:pPr>
              <w:rPr>
                <w:rFonts w:asciiTheme="minorHAnsi" w:hAnsiTheme="minorHAnsi" w:cstheme="minorHAnsi"/>
              </w:rPr>
            </w:pPr>
            <w:r>
              <w:rPr>
                <w:rFonts w:asciiTheme="minorHAnsi" w:hAnsiTheme="minorHAnsi" w:cstheme="minorHAnsi"/>
              </w:rPr>
              <w:t>Co-opted Governor</w:t>
            </w:r>
          </w:p>
        </w:tc>
      </w:tr>
      <w:tr w:rsidR="007C1C2D" w:rsidRPr="00D256CE" w14:paraId="6130C03B" w14:textId="77777777" w:rsidTr="00827D6C">
        <w:trPr>
          <w:trHeight w:val="46"/>
        </w:trPr>
        <w:tc>
          <w:tcPr>
            <w:tcW w:w="577" w:type="dxa"/>
            <w:tcBorders>
              <w:top w:val="single" w:sz="4" w:space="0" w:color="auto"/>
              <w:left w:val="single" w:sz="4" w:space="0" w:color="auto"/>
              <w:bottom w:val="single" w:sz="4" w:space="0" w:color="auto"/>
              <w:right w:val="single" w:sz="4" w:space="0" w:color="auto"/>
            </w:tcBorders>
          </w:tcPr>
          <w:p w14:paraId="4D02DC15" w14:textId="77777777" w:rsidR="007C1C2D" w:rsidRPr="00D256CE" w:rsidRDefault="007C1C2D" w:rsidP="00AC63BE">
            <w:pP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vAlign w:val="center"/>
          </w:tcPr>
          <w:p w14:paraId="01C1F8E2" w14:textId="4FE3B630" w:rsidR="007C1C2D" w:rsidRDefault="007C1C2D" w:rsidP="00AC63BE">
            <w:pPr>
              <w:rPr>
                <w:rFonts w:asciiTheme="minorHAnsi" w:hAnsiTheme="minorHAnsi" w:cstheme="minorHAnsi"/>
                <w:bCs/>
              </w:rPr>
            </w:pPr>
            <w:r>
              <w:rPr>
                <w:rFonts w:asciiTheme="minorHAnsi" w:hAnsiTheme="minorHAnsi" w:cstheme="minorHAnsi"/>
                <w:bCs/>
              </w:rPr>
              <w:t>AS</w:t>
            </w:r>
          </w:p>
        </w:tc>
        <w:tc>
          <w:tcPr>
            <w:tcW w:w="1985" w:type="dxa"/>
            <w:tcBorders>
              <w:top w:val="single" w:sz="4" w:space="0" w:color="auto"/>
              <w:left w:val="single" w:sz="4" w:space="0" w:color="auto"/>
              <w:bottom w:val="single" w:sz="4" w:space="0" w:color="auto"/>
            </w:tcBorders>
            <w:vAlign w:val="center"/>
          </w:tcPr>
          <w:p w14:paraId="0975B51F" w14:textId="54361F62" w:rsidR="007C1C2D" w:rsidRDefault="007C1C2D" w:rsidP="00AC63BE">
            <w:pPr>
              <w:rPr>
                <w:rFonts w:asciiTheme="minorHAnsi" w:hAnsiTheme="minorHAnsi" w:cstheme="minorHAnsi"/>
              </w:rPr>
            </w:pPr>
            <w:r>
              <w:rPr>
                <w:rFonts w:asciiTheme="minorHAnsi" w:hAnsiTheme="minorHAnsi" w:cstheme="minorHAnsi"/>
              </w:rPr>
              <w:t>Anna Sullivan</w:t>
            </w:r>
          </w:p>
        </w:tc>
        <w:tc>
          <w:tcPr>
            <w:tcW w:w="5377" w:type="dxa"/>
            <w:tcBorders>
              <w:top w:val="single" w:sz="4" w:space="0" w:color="auto"/>
              <w:bottom w:val="single" w:sz="4" w:space="0" w:color="auto"/>
            </w:tcBorders>
            <w:vAlign w:val="center"/>
          </w:tcPr>
          <w:p w14:paraId="03B21087" w14:textId="69F35E3C" w:rsidR="007C1C2D" w:rsidRDefault="007C1C2D" w:rsidP="00AC63BE">
            <w:pPr>
              <w:rPr>
                <w:rFonts w:asciiTheme="minorHAnsi" w:hAnsiTheme="minorHAnsi" w:cstheme="minorHAnsi"/>
              </w:rPr>
            </w:pPr>
            <w:r>
              <w:rPr>
                <w:rFonts w:asciiTheme="minorHAnsi" w:hAnsiTheme="minorHAnsi" w:cstheme="minorHAnsi"/>
              </w:rPr>
              <w:t xml:space="preserve">Staff Governor </w:t>
            </w:r>
          </w:p>
        </w:tc>
      </w:tr>
      <w:tr w:rsidR="005C248B" w:rsidRPr="00D256CE" w14:paraId="0AB525BC" w14:textId="77777777" w:rsidTr="00827D6C">
        <w:trPr>
          <w:trHeight w:val="46"/>
        </w:trPr>
        <w:tc>
          <w:tcPr>
            <w:tcW w:w="577" w:type="dxa"/>
            <w:tcBorders>
              <w:top w:val="single" w:sz="4" w:space="0" w:color="auto"/>
              <w:left w:val="single" w:sz="4" w:space="0" w:color="auto"/>
              <w:bottom w:val="single" w:sz="4" w:space="0" w:color="auto"/>
              <w:right w:val="single" w:sz="4" w:space="0" w:color="auto"/>
            </w:tcBorders>
          </w:tcPr>
          <w:p w14:paraId="5600EE1C" w14:textId="77777777" w:rsidR="005C248B" w:rsidRPr="00D256CE" w:rsidRDefault="005C248B" w:rsidP="00AC63BE">
            <w:pP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vAlign w:val="center"/>
          </w:tcPr>
          <w:p w14:paraId="7CBB792A" w14:textId="522BFEFE" w:rsidR="005C248B" w:rsidRDefault="005C248B" w:rsidP="00AC63BE">
            <w:pPr>
              <w:rPr>
                <w:rFonts w:asciiTheme="minorHAnsi" w:hAnsiTheme="minorHAnsi" w:cstheme="minorHAnsi"/>
                <w:bCs/>
              </w:rPr>
            </w:pPr>
            <w:r>
              <w:rPr>
                <w:rFonts w:asciiTheme="minorHAnsi" w:hAnsiTheme="minorHAnsi" w:cstheme="minorHAnsi"/>
                <w:bCs/>
              </w:rPr>
              <w:t>Clerk</w:t>
            </w:r>
          </w:p>
        </w:tc>
        <w:tc>
          <w:tcPr>
            <w:tcW w:w="1985" w:type="dxa"/>
            <w:tcBorders>
              <w:top w:val="single" w:sz="4" w:space="0" w:color="auto"/>
              <w:left w:val="single" w:sz="4" w:space="0" w:color="auto"/>
              <w:bottom w:val="single" w:sz="4" w:space="0" w:color="auto"/>
            </w:tcBorders>
            <w:vAlign w:val="center"/>
          </w:tcPr>
          <w:p w14:paraId="3F244E06" w14:textId="5351DA95" w:rsidR="005C248B" w:rsidRDefault="005C248B" w:rsidP="00AC63BE">
            <w:pPr>
              <w:rPr>
                <w:rFonts w:asciiTheme="minorHAnsi" w:hAnsiTheme="minorHAnsi" w:cstheme="minorHAnsi"/>
              </w:rPr>
            </w:pPr>
            <w:r>
              <w:rPr>
                <w:rFonts w:asciiTheme="minorHAnsi" w:hAnsiTheme="minorHAnsi" w:cstheme="minorHAnsi"/>
              </w:rPr>
              <w:t>Gill Green</w:t>
            </w:r>
          </w:p>
        </w:tc>
        <w:tc>
          <w:tcPr>
            <w:tcW w:w="5377" w:type="dxa"/>
            <w:tcBorders>
              <w:top w:val="single" w:sz="4" w:space="0" w:color="auto"/>
              <w:bottom w:val="single" w:sz="4" w:space="0" w:color="auto"/>
            </w:tcBorders>
            <w:vAlign w:val="center"/>
          </w:tcPr>
          <w:p w14:paraId="6ED20921" w14:textId="691681B3" w:rsidR="005C248B" w:rsidRDefault="005C248B" w:rsidP="00AC63BE">
            <w:pPr>
              <w:rPr>
                <w:rFonts w:asciiTheme="minorHAnsi" w:hAnsiTheme="minorHAnsi" w:cstheme="minorHAnsi"/>
              </w:rPr>
            </w:pPr>
            <w:r>
              <w:rPr>
                <w:rFonts w:asciiTheme="minorHAnsi" w:hAnsiTheme="minorHAnsi" w:cstheme="minorHAnsi"/>
              </w:rPr>
              <w:t>Clerk, Camden Learning</w:t>
            </w:r>
          </w:p>
        </w:tc>
      </w:tr>
    </w:tbl>
    <w:p w14:paraId="3AA7DD3E" w14:textId="77777777" w:rsidR="006E0944" w:rsidRDefault="006E0944" w:rsidP="00AC63BE"/>
    <w:tbl>
      <w:tblPr>
        <w:tblStyle w:val="TableGrid"/>
        <w:tblW w:w="0" w:type="auto"/>
        <w:tblLook w:val="04A0" w:firstRow="1" w:lastRow="0" w:firstColumn="1" w:lastColumn="0" w:noHBand="0" w:noVBand="1"/>
      </w:tblPr>
      <w:tblGrid>
        <w:gridCol w:w="988"/>
        <w:gridCol w:w="6884"/>
        <w:gridCol w:w="1144"/>
      </w:tblGrid>
      <w:tr w:rsidR="00097F94" w:rsidRPr="00097F94" w14:paraId="18F8221D" w14:textId="77777777" w:rsidTr="00097F94">
        <w:tc>
          <w:tcPr>
            <w:tcW w:w="988" w:type="dxa"/>
          </w:tcPr>
          <w:p w14:paraId="2A82534F" w14:textId="3560F81C" w:rsidR="00097F94" w:rsidRPr="00097F94" w:rsidRDefault="00097F94" w:rsidP="004649CE">
            <w:pPr>
              <w:rPr>
                <w:b/>
                <w:bCs/>
              </w:rPr>
            </w:pPr>
            <w:r w:rsidRPr="00097F94">
              <w:rPr>
                <w:b/>
                <w:bCs/>
              </w:rPr>
              <w:t>ITEM</w:t>
            </w:r>
          </w:p>
        </w:tc>
        <w:tc>
          <w:tcPr>
            <w:tcW w:w="6884" w:type="dxa"/>
          </w:tcPr>
          <w:p w14:paraId="64C2CE05" w14:textId="18138A3C" w:rsidR="00097F94" w:rsidRPr="00097F94" w:rsidRDefault="00097F94" w:rsidP="004649CE">
            <w:pPr>
              <w:rPr>
                <w:b/>
                <w:bCs/>
              </w:rPr>
            </w:pPr>
            <w:r w:rsidRPr="00097F94">
              <w:rPr>
                <w:b/>
                <w:bCs/>
              </w:rPr>
              <w:t>BUSINESS ITEM</w:t>
            </w:r>
          </w:p>
        </w:tc>
        <w:tc>
          <w:tcPr>
            <w:tcW w:w="1144" w:type="dxa"/>
          </w:tcPr>
          <w:p w14:paraId="20668B3B" w14:textId="091F5DC6" w:rsidR="00097F94" w:rsidRPr="00097F94" w:rsidRDefault="00097F94" w:rsidP="004649CE">
            <w:pPr>
              <w:rPr>
                <w:b/>
                <w:bCs/>
              </w:rPr>
            </w:pPr>
            <w:r w:rsidRPr="00097F94">
              <w:rPr>
                <w:b/>
                <w:bCs/>
              </w:rPr>
              <w:t>ACTION</w:t>
            </w:r>
          </w:p>
        </w:tc>
      </w:tr>
      <w:tr w:rsidR="00827D6C" w14:paraId="3217CE58" w14:textId="77777777" w:rsidTr="00097F94">
        <w:tc>
          <w:tcPr>
            <w:tcW w:w="988" w:type="dxa"/>
          </w:tcPr>
          <w:p w14:paraId="2E9DD72C" w14:textId="6967C942" w:rsidR="00827D6C" w:rsidRDefault="00827D6C" w:rsidP="004649CE">
            <w:r>
              <w:t>1.</w:t>
            </w:r>
          </w:p>
        </w:tc>
        <w:tc>
          <w:tcPr>
            <w:tcW w:w="6884" w:type="dxa"/>
          </w:tcPr>
          <w:p w14:paraId="0725B288" w14:textId="63A61086" w:rsidR="001929D8" w:rsidRPr="00762F47" w:rsidRDefault="00827D6C" w:rsidP="004649CE">
            <w:pPr>
              <w:rPr>
                <w:b/>
              </w:rPr>
            </w:pPr>
            <w:r>
              <w:rPr>
                <w:b/>
              </w:rPr>
              <w:t xml:space="preserve">Talk by Nick </w:t>
            </w:r>
            <w:r w:rsidR="001929D8">
              <w:rPr>
                <w:b/>
              </w:rPr>
              <w:t>Smith</w:t>
            </w:r>
            <w:r>
              <w:rPr>
                <w:b/>
              </w:rPr>
              <w:t xml:space="preserve"> from Camden Council.</w:t>
            </w:r>
          </w:p>
          <w:p w14:paraId="3F67603F" w14:textId="5B6BDF4B" w:rsidR="00827D6C" w:rsidRDefault="00827D6C" w:rsidP="004649CE">
            <w:pPr>
              <w:rPr>
                <w:bCs/>
              </w:rPr>
            </w:pPr>
            <w:r w:rsidRPr="00827D6C">
              <w:rPr>
                <w:bCs/>
              </w:rPr>
              <w:t xml:space="preserve">The meeting began </w:t>
            </w:r>
            <w:r w:rsidR="00B2417A">
              <w:rPr>
                <w:bCs/>
              </w:rPr>
              <w:t xml:space="preserve">at 9.20 </w:t>
            </w:r>
            <w:r w:rsidRPr="00827D6C">
              <w:rPr>
                <w:bCs/>
              </w:rPr>
              <w:t xml:space="preserve">with a zoom presentation by Nick </w:t>
            </w:r>
            <w:r>
              <w:rPr>
                <w:bCs/>
              </w:rPr>
              <w:t xml:space="preserve">Smith, </w:t>
            </w:r>
            <w:r w:rsidR="00B2417A">
              <w:rPr>
                <w:bCs/>
              </w:rPr>
              <w:t xml:space="preserve">Head of </w:t>
            </w:r>
            <w:r>
              <w:t xml:space="preserve">Education, Commissioning &amp; School Organisation </w:t>
            </w:r>
            <w:r w:rsidR="00B2417A">
              <w:t>for Camden Council.</w:t>
            </w:r>
          </w:p>
          <w:p w14:paraId="07FB6EEE" w14:textId="5E112A3D" w:rsidR="00827D6C" w:rsidRDefault="00B2417A" w:rsidP="004649CE">
            <w:pPr>
              <w:rPr>
                <w:bCs/>
              </w:rPr>
            </w:pPr>
            <w:r>
              <w:rPr>
                <w:bCs/>
              </w:rPr>
              <w:t xml:space="preserve">He talked </w:t>
            </w:r>
            <w:r w:rsidR="00827D6C" w:rsidRPr="00827D6C">
              <w:rPr>
                <w:bCs/>
              </w:rPr>
              <w:t xml:space="preserve">about </w:t>
            </w:r>
            <w:r>
              <w:rPr>
                <w:bCs/>
              </w:rPr>
              <w:t xml:space="preserve">overall </w:t>
            </w:r>
            <w:r w:rsidR="00827D6C" w:rsidRPr="00827D6C">
              <w:rPr>
                <w:bCs/>
              </w:rPr>
              <w:t>pupil numbers in Camden</w:t>
            </w:r>
            <w:r>
              <w:rPr>
                <w:bCs/>
              </w:rPr>
              <w:t xml:space="preserve"> and five year predictions</w:t>
            </w:r>
            <w:r w:rsidR="00827D6C" w:rsidRPr="00827D6C">
              <w:rPr>
                <w:bCs/>
              </w:rPr>
              <w:t xml:space="preserve">, </w:t>
            </w:r>
            <w:r>
              <w:rPr>
                <w:bCs/>
              </w:rPr>
              <w:t xml:space="preserve">plus </w:t>
            </w:r>
            <w:r w:rsidR="00827D6C" w:rsidRPr="00827D6C">
              <w:rPr>
                <w:bCs/>
              </w:rPr>
              <w:t>possible strategies to be followed in Camden</w:t>
            </w:r>
            <w:r>
              <w:rPr>
                <w:bCs/>
              </w:rPr>
              <w:t xml:space="preserve">. He then </w:t>
            </w:r>
            <w:r>
              <w:rPr>
                <w:bCs/>
              </w:rPr>
              <w:lastRenderedPageBreak/>
              <w:t xml:space="preserve">covered the issues at New End and the local area and future strategies for New End. </w:t>
            </w:r>
          </w:p>
          <w:p w14:paraId="189320D7" w14:textId="720B315D" w:rsidR="00B2417A" w:rsidRPr="001929D8" w:rsidRDefault="00B2417A" w:rsidP="004649CE">
            <w:pPr>
              <w:rPr>
                <w:b/>
              </w:rPr>
            </w:pPr>
            <w:r w:rsidRPr="001929D8">
              <w:rPr>
                <w:b/>
              </w:rPr>
              <w:t>Overall position.</w:t>
            </w:r>
          </w:p>
          <w:p w14:paraId="4DD6E567" w14:textId="3804A58D" w:rsidR="00B2417A" w:rsidRDefault="00B2417A" w:rsidP="004649CE">
            <w:pPr>
              <w:rPr>
                <w:bCs/>
              </w:rPr>
            </w:pPr>
            <w:r>
              <w:rPr>
                <w:bCs/>
              </w:rPr>
              <w:t xml:space="preserve">Births in Camden had reduced by 30% in the past 11 years, from approximately 3000 in 2012 to approximately 2000 in 2023. Birth numbers are the major variable affecting reception admissions. Camden also looked at GP data, housing information and migration data but these had less impact. There were several reasons for the fall including Brexit, with European families leaving and/or no longer arriving; housing costs and shortages plus the cost of living; Covid influencing relocation to areas with more communal and individual open space/gardens. In five years the borough </w:t>
            </w:r>
            <w:r w:rsidR="003E0C16">
              <w:rPr>
                <w:bCs/>
              </w:rPr>
              <w:t>closed 4 schools and lost 10 entry classes.</w:t>
            </w:r>
          </w:p>
          <w:p w14:paraId="0C26D216" w14:textId="77777777" w:rsidR="009D368B" w:rsidRDefault="003E0C16" w:rsidP="004649CE">
            <w:pPr>
              <w:rPr>
                <w:bCs/>
              </w:rPr>
            </w:pPr>
            <w:r>
              <w:rPr>
                <w:bCs/>
              </w:rPr>
              <w:t xml:space="preserve">The reduction has not been </w:t>
            </w:r>
            <w:proofErr w:type="gramStart"/>
            <w:r>
              <w:rPr>
                <w:bCs/>
              </w:rPr>
              <w:t>uniform</w:t>
            </w:r>
            <w:proofErr w:type="gramEnd"/>
            <w:r>
              <w:rPr>
                <w:bCs/>
              </w:rPr>
              <w:t xml:space="preserve"> across the Borough. </w:t>
            </w:r>
            <w:r w:rsidR="009D368B">
              <w:rPr>
                <w:bCs/>
              </w:rPr>
              <w:t>Camden divides the borough into 5 for planning school places; NW, NE, central and two areas south of the Euston Road. NW is more stable and demand has increased by 30 for September 2024; the NE area has a moderate decline, central Camden a more acute decline and South of the Euston Road the sharpest decline. Overall the Council expects a drop of 90 children for September 2024. Because the NE area has increased by 30 this means that the rest of Camden has lost 120 children.</w:t>
            </w:r>
          </w:p>
          <w:p w14:paraId="04655E68" w14:textId="780A708D" w:rsidR="003E0C16" w:rsidRDefault="009D368B" w:rsidP="004649CE">
            <w:pPr>
              <w:rPr>
                <w:bCs/>
              </w:rPr>
            </w:pPr>
            <w:r>
              <w:rPr>
                <w:bCs/>
              </w:rPr>
              <w:t>Vacancies do not fall evenly across schools. More popular schools tend to fill up first, though this is affected by nearness to other schools and very local demography.</w:t>
            </w:r>
          </w:p>
          <w:p w14:paraId="25CEDF1D" w14:textId="77777777" w:rsidR="00827D6C" w:rsidRDefault="009D368B" w:rsidP="00F34958">
            <w:pPr>
              <w:rPr>
                <w:bCs/>
              </w:rPr>
            </w:pPr>
            <w:r>
              <w:rPr>
                <w:bCs/>
              </w:rPr>
              <w:t>Legislation means that classes are capped at 30 (except for a twin!)</w:t>
            </w:r>
            <w:r w:rsidR="00F34958">
              <w:rPr>
                <w:bCs/>
              </w:rPr>
              <w:t xml:space="preserve">. So if a school entrance number remains at 60 and 32 pupils apply for places (for example) a school would have to split that group and provide 2 teachers, which would be financially difficult for such a low number of pupils per teacher. </w:t>
            </w:r>
          </w:p>
          <w:p w14:paraId="71223D7F" w14:textId="6FA62B58" w:rsidR="000871AA" w:rsidRDefault="000871AA" w:rsidP="00F34958">
            <w:pPr>
              <w:rPr>
                <w:bCs/>
              </w:rPr>
            </w:pPr>
            <w:r>
              <w:rPr>
                <w:bCs/>
              </w:rPr>
              <w:t>Current demand suggests that New End should have a September 2024 entry capped at 30. It is likely that the school will have to run at that entry number for several years. Nick Smith recognised that such a reduction was a difficult decision for a school, as such a reduction could mean turning away a few local children.</w:t>
            </w:r>
          </w:p>
          <w:p w14:paraId="409ED92D" w14:textId="70777EF0" w:rsidR="00F34958" w:rsidRDefault="00F34958" w:rsidP="00F34958">
            <w:pPr>
              <w:rPr>
                <w:bCs/>
              </w:rPr>
            </w:pPr>
            <w:r w:rsidRPr="00F34958">
              <w:rPr>
                <w:bCs/>
              </w:rPr>
              <w:t xml:space="preserve">The Council hopes that births and reception numbers are now stabilising, </w:t>
            </w:r>
            <w:r>
              <w:rPr>
                <w:bCs/>
              </w:rPr>
              <w:t xml:space="preserve">at the current lower level, </w:t>
            </w:r>
            <w:r w:rsidRPr="00F34958">
              <w:rPr>
                <w:bCs/>
              </w:rPr>
              <w:t>but there is no evidence of any increase.</w:t>
            </w:r>
          </w:p>
          <w:p w14:paraId="3335286F" w14:textId="77777777" w:rsidR="00F34958" w:rsidRDefault="00F34958" w:rsidP="00F34958">
            <w:pPr>
              <w:rPr>
                <w:b/>
              </w:rPr>
            </w:pPr>
            <w:r w:rsidRPr="00F34958">
              <w:rPr>
                <w:b/>
              </w:rPr>
              <w:t xml:space="preserve">Camden’s current policy response  </w:t>
            </w:r>
          </w:p>
          <w:p w14:paraId="20479300" w14:textId="7D94F4B8" w:rsidR="00F34958" w:rsidRDefault="00F34958" w:rsidP="00F34958">
            <w:pPr>
              <w:rPr>
                <w:bCs/>
              </w:rPr>
            </w:pPr>
            <w:r w:rsidRPr="00F34958">
              <w:rPr>
                <w:bCs/>
              </w:rPr>
              <w:t>The Council does not intend to close more schools.</w:t>
            </w:r>
            <w:r>
              <w:rPr>
                <w:b/>
              </w:rPr>
              <w:t xml:space="preserve"> </w:t>
            </w:r>
            <w:r w:rsidRPr="00F34958">
              <w:rPr>
                <w:bCs/>
              </w:rPr>
              <w:t xml:space="preserve">There is no plan to close 1 form entry schools and keep 2 form entry elsewhere, for example. </w:t>
            </w:r>
            <w:r w:rsidR="008B44C7">
              <w:rPr>
                <w:bCs/>
              </w:rPr>
              <w:t xml:space="preserve">The council do not want to take put potential future capacity for any </w:t>
            </w:r>
            <w:r w:rsidR="008B44C7">
              <w:rPr>
                <w:bCs/>
              </w:rPr>
              <w:lastRenderedPageBreak/>
              <w:t xml:space="preserve">potential future increases, because in an inner London borough like Camden it would be very difficult and expensive to find new school sites if that became necessary. </w:t>
            </w:r>
            <w:r w:rsidRPr="00F34958">
              <w:rPr>
                <w:bCs/>
              </w:rPr>
              <w:t xml:space="preserve"> </w:t>
            </w:r>
          </w:p>
          <w:p w14:paraId="26072213" w14:textId="69057097" w:rsidR="008B44C7" w:rsidRDefault="008B44C7" w:rsidP="00F34958">
            <w:pPr>
              <w:rPr>
                <w:bCs/>
              </w:rPr>
            </w:pPr>
            <w:r>
              <w:rPr>
                <w:bCs/>
              </w:rPr>
              <w:t xml:space="preserve">This means that schools previously taking up to 60 may have </w:t>
            </w:r>
            <w:r w:rsidR="000871AA">
              <w:rPr>
                <w:bCs/>
              </w:rPr>
              <w:t xml:space="preserve">their </w:t>
            </w:r>
            <w:r>
              <w:rPr>
                <w:bCs/>
              </w:rPr>
              <w:t>entrance numbers reduced to 30 (one form entry). Over all schools the Council expects a vacancy rate of about 8%.</w:t>
            </w:r>
          </w:p>
          <w:p w14:paraId="1B3D09FA" w14:textId="0C0E1789" w:rsidR="008B44C7" w:rsidRDefault="008B44C7" w:rsidP="00F34958">
            <w:pPr>
              <w:rPr>
                <w:bCs/>
              </w:rPr>
            </w:pPr>
            <w:r>
              <w:rPr>
                <w:bCs/>
              </w:rPr>
              <w:t>This means that some schools will have underused premises. The Council are talking to schools in this situation. Possible options include co-locating suitable services (for example Adult Community Learning); and perhaps some more specialist units /spaces for some children with SEND given the increase in the number and complexity of pupils presenting with SEND.</w:t>
            </w:r>
          </w:p>
          <w:p w14:paraId="5F0580A8" w14:textId="77777777" w:rsidR="00F34958" w:rsidRDefault="008B44C7" w:rsidP="00762F47">
            <w:pPr>
              <w:rPr>
                <w:bCs/>
              </w:rPr>
            </w:pPr>
            <w:r>
              <w:rPr>
                <w:bCs/>
              </w:rPr>
              <w:t>Another structural option for some could be partnerships between schools to share some resources and gain possible economies of scale and sharing o</w:t>
            </w:r>
            <w:r w:rsidR="002C7FB2">
              <w:rPr>
                <w:bCs/>
              </w:rPr>
              <w:t>f</w:t>
            </w:r>
            <w:r>
              <w:rPr>
                <w:bCs/>
              </w:rPr>
              <w:t xml:space="preserve"> staff expertise to help deal with the tighter budget pressures that reduced rolls will bring.</w:t>
            </w:r>
            <w:r w:rsidR="000871AA">
              <w:rPr>
                <w:bCs/>
              </w:rPr>
              <w:t xml:space="preserve"> Some schools have already started these (e.g. Torriano and Brecknock).</w:t>
            </w:r>
          </w:p>
          <w:p w14:paraId="78547658" w14:textId="601C7888" w:rsidR="00762F47" w:rsidRPr="001929D8" w:rsidRDefault="00762F47" w:rsidP="00762F47">
            <w:pPr>
              <w:rPr>
                <w:bCs/>
              </w:rPr>
            </w:pPr>
            <w:r>
              <w:rPr>
                <w:bCs/>
              </w:rPr>
              <w:t>There followed a confidential discussion recorded in the confidential minutes.</w:t>
            </w:r>
          </w:p>
        </w:tc>
        <w:tc>
          <w:tcPr>
            <w:tcW w:w="1144" w:type="dxa"/>
          </w:tcPr>
          <w:p w14:paraId="5B4CF31F" w14:textId="77777777" w:rsidR="00827D6C" w:rsidRDefault="00827D6C" w:rsidP="004649CE"/>
        </w:tc>
      </w:tr>
      <w:tr w:rsidR="00097F94" w14:paraId="028E7249" w14:textId="77777777" w:rsidTr="00097F94">
        <w:tc>
          <w:tcPr>
            <w:tcW w:w="988" w:type="dxa"/>
          </w:tcPr>
          <w:p w14:paraId="128332F8" w14:textId="2FEF9ACC" w:rsidR="00097F94" w:rsidRDefault="00EC323F" w:rsidP="004649CE">
            <w:r>
              <w:lastRenderedPageBreak/>
              <w:t>2</w:t>
            </w:r>
          </w:p>
        </w:tc>
        <w:tc>
          <w:tcPr>
            <w:tcW w:w="6884" w:type="dxa"/>
          </w:tcPr>
          <w:p w14:paraId="4E470DCA" w14:textId="77777777" w:rsidR="00097F94" w:rsidRPr="00097F94" w:rsidRDefault="00097F94" w:rsidP="004649CE">
            <w:pPr>
              <w:rPr>
                <w:b/>
              </w:rPr>
            </w:pPr>
            <w:r w:rsidRPr="00097F94">
              <w:rPr>
                <w:b/>
              </w:rPr>
              <w:t>Welcome and Apologies</w:t>
            </w:r>
          </w:p>
          <w:p w14:paraId="6A55811F" w14:textId="77777777" w:rsidR="00EC323F" w:rsidRDefault="00097F94" w:rsidP="004649CE">
            <w:r>
              <w:t>The meeting began at 9.15. No apologies had been received</w:t>
            </w:r>
            <w:r w:rsidR="00EC323F">
              <w:t>.</w:t>
            </w:r>
          </w:p>
          <w:p w14:paraId="16E8D2FB" w14:textId="04848A63" w:rsidR="00097F94" w:rsidRPr="00676908" w:rsidRDefault="00EC323F" w:rsidP="004649CE">
            <w:pPr>
              <w:rPr>
                <w:bCs/>
              </w:rPr>
            </w:pPr>
            <w:r>
              <w:t>The new staff governor, the Year 2 teacher Anna Sullivan, was introduced. She noted that she had been a staff governor at a previous school.</w:t>
            </w:r>
          </w:p>
        </w:tc>
        <w:tc>
          <w:tcPr>
            <w:tcW w:w="1144" w:type="dxa"/>
          </w:tcPr>
          <w:p w14:paraId="7CF29D6E" w14:textId="77777777" w:rsidR="00097F94" w:rsidRDefault="00097F94" w:rsidP="004649CE"/>
        </w:tc>
      </w:tr>
      <w:tr w:rsidR="00097F94" w14:paraId="120C0C45" w14:textId="77777777" w:rsidTr="00097F94">
        <w:tc>
          <w:tcPr>
            <w:tcW w:w="988" w:type="dxa"/>
          </w:tcPr>
          <w:p w14:paraId="2DC30E99" w14:textId="6447A3AA" w:rsidR="00097F94" w:rsidRDefault="00EC323F" w:rsidP="004649CE">
            <w:r>
              <w:t>3</w:t>
            </w:r>
          </w:p>
        </w:tc>
        <w:tc>
          <w:tcPr>
            <w:tcW w:w="6884" w:type="dxa"/>
          </w:tcPr>
          <w:p w14:paraId="2F13C047" w14:textId="77777777" w:rsidR="00097F94" w:rsidRPr="00405273" w:rsidRDefault="00097F94" w:rsidP="004649CE">
            <w:pPr>
              <w:rPr>
                <w:b/>
                <w:bCs/>
              </w:rPr>
            </w:pPr>
            <w:r w:rsidRPr="00405273">
              <w:rPr>
                <w:b/>
                <w:bCs/>
              </w:rPr>
              <w:t>Notification of Any Other Urgent Business</w:t>
            </w:r>
          </w:p>
          <w:p w14:paraId="23C43338" w14:textId="42F4A2D3" w:rsidR="00097F94" w:rsidRDefault="00F1396F" w:rsidP="004649CE">
            <w:r>
              <w:t>Planning Application.</w:t>
            </w:r>
          </w:p>
        </w:tc>
        <w:tc>
          <w:tcPr>
            <w:tcW w:w="1144" w:type="dxa"/>
          </w:tcPr>
          <w:p w14:paraId="38EDB380" w14:textId="77777777" w:rsidR="00097F94" w:rsidRDefault="00097F94" w:rsidP="004649CE"/>
        </w:tc>
      </w:tr>
      <w:tr w:rsidR="00097F94" w14:paraId="51577168" w14:textId="77777777" w:rsidTr="00097F94">
        <w:tc>
          <w:tcPr>
            <w:tcW w:w="988" w:type="dxa"/>
          </w:tcPr>
          <w:p w14:paraId="733F7394" w14:textId="68D4B4C3" w:rsidR="00097F94" w:rsidRDefault="00EC323F" w:rsidP="004649CE">
            <w:r>
              <w:t>4</w:t>
            </w:r>
          </w:p>
        </w:tc>
        <w:tc>
          <w:tcPr>
            <w:tcW w:w="6884" w:type="dxa"/>
          </w:tcPr>
          <w:p w14:paraId="6441DDAA" w14:textId="77777777" w:rsidR="00097F94" w:rsidRPr="00405273" w:rsidRDefault="00097F94" w:rsidP="004649CE">
            <w:pPr>
              <w:rPr>
                <w:b/>
                <w:bCs/>
              </w:rPr>
            </w:pPr>
            <w:r w:rsidRPr="00405273">
              <w:rPr>
                <w:b/>
                <w:bCs/>
              </w:rPr>
              <w:t xml:space="preserve">Declarations of Interest: </w:t>
            </w:r>
          </w:p>
          <w:p w14:paraId="4DE1A7FC" w14:textId="77777777" w:rsidR="00097F94" w:rsidRDefault="00097F94" w:rsidP="004649CE">
            <w:r>
              <w:t>Register of Governors Business and Pecuniary Interests - No issues to report.</w:t>
            </w:r>
          </w:p>
          <w:p w14:paraId="64F65798" w14:textId="77777777" w:rsidR="00097F94" w:rsidRDefault="00097F94" w:rsidP="004649CE">
            <w:r>
              <w:t>Conflicts of Interest in respect of the agenda- none.</w:t>
            </w:r>
          </w:p>
        </w:tc>
        <w:tc>
          <w:tcPr>
            <w:tcW w:w="1144" w:type="dxa"/>
          </w:tcPr>
          <w:p w14:paraId="598B5562" w14:textId="77777777" w:rsidR="00097F94" w:rsidRDefault="00097F94" w:rsidP="004649CE"/>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6995"/>
        <w:gridCol w:w="1134"/>
      </w:tblGrid>
      <w:tr w:rsidR="001E130B" w:rsidRPr="009C4D4B" w14:paraId="1FE24F9B" w14:textId="4B106845" w:rsidTr="001E130B">
        <w:trPr>
          <w:trHeight w:val="843"/>
        </w:trPr>
        <w:tc>
          <w:tcPr>
            <w:tcW w:w="938" w:type="dxa"/>
          </w:tcPr>
          <w:p w14:paraId="42875868" w14:textId="6EF9EEB9" w:rsidR="001E130B" w:rsidRPr="00216C50" w:rsidRDefault="00EC323F" w:rsidP="00EC323F">
            <w:pPr>
              <w:pStyle w:val="BodyText3"/>
              <w:rPr>
                <w:rFonts w:asciiTheme="minorHAnsi" w:hAnsiTheme="minorHAnsi" w:cstheme="minorHAnsi"/>
                <w:b/>
                <w:sz w:val="22"/>
                <w:szCs w:val="22"/>
              </w:rPr>
            </w:pPr>
            <w:r>
              <w:rPr>
                <w:rFonts w:asciiTheme="minorHAnsi" w:hAnsiTheme="minorHAnsi" w:cstheme="minorHAnsi"/>
                <w:b/>
                <w:sz w:val="22"/>
                <w:szCs w:val="22"/>
              </w:rPr>
              <w:t>5</w:t>
            </w:r>
          </w:p>
        </w:tc>
        <w:tc>
          <w:tcPr>
            <w:tcW w:w="6995" w:type="dxa"/>
          </w:tcPr>
          <w:p w14:paraId="5D575809" w14:textId="0769A205" w:rsidR="001E130B" w:rsidRPr="00A8574C" w:rsidRDefault="00EC323F" w:rsidP="004649CE">
            <w:pPr>
              <w:spacing w:after="120"/>
              <w:rPr>
                <w:rFonts w:asciiTheme="minorHAnsi" w:hAnsiTheme="minorHAnsi" w:cstheme="minorHAnsi"/>
                <w:b/>
              </w:rPr>
            </w:pPr>
            <w:r>
              <w:rPr>
                <w:rFonts w:asciiTheme="minorHAnsi" w:hAnsiTheme="minorHAnsi" w:cstheme="minorHAnsi"/>
                <w:b/>
              </w:rPr>
              <w:t>Nick Holt the bursar introduced the outturn for 2023/4 and the final budget for 2024/5</w:t>
            </w:r>
          </w:p>
          <w:p w14:paraId="1B912AF8" w14:textId="3A51E190" w:rsidR="001E130B" w:rsidRDefault="00EC323F" w:rsidP="004649CE">
            <w:pPr>
              <w:spacing w:after="120"/>
              <w:rPr>
                <w:rFonts w:asciiTheme="minorHAnsi" w:hAnsiTheme="minorHAnsi" w:cstheme="minorHAnsi"/>
                <w:bCs/>
              </w:rPr>
            </w:pPr>
            <w:r>
              <w:rPr>
                <w:rFonts w:asciiTheme="minorHAnsi" w:hAnsiTheme="minorHAnsi" w:cstheme="minorHAnsi"/>
                <w:bCs/>
              </w:rPr>
              <w:t xml:space="preserve">NH noted that FSP had looked at year end </w:t>
            </w:r>
            <w:r w:rsidR="00885E3C">
              <w:rPr>
                <w:rFonts w:asciiTheme="minorHAnsi" w:hAnsiTheme="minorHAnsi" w:cstheme="minorHAnsi"/>
                <w:bCs/>
              </w:rPr>
              <w:t>outturn</w:t>
            </w:r>
            <w:r>
              <w:rPr>
                <w:rFonts w:asciiTheme="minorHAnsi" w:hAnsiTheme="minorHAnsi" w:cstheme="minorHAnsi"/>
                <w:bCs/>
              </w:rPr>
              <w:t xml:space="preserve"> and the 24/25 budget in detail on 30 April and recommended it to the full Governing Body. </w:t>
            </w:r>
          </w:p>
          <w:p w14:paraId="77B6A0FC" w14:textId="783F46F0" w:rsidR="00EC323F" w:rsidRDefault="00EC323F" w:rsidP="004649CE">
            <w:pPr>
              <w:spacing w:after="120"/>
              <w:rPr>
                <w:rFonts w:asciiTheme="minorHAnsi" w:hAnsiTheme="minorHAnsi" w:cstheme="minorHAnsi"/>
                <w:bCs/>
              </w:rPr>
            </w:pPr>
            <w:r>
              <w:rPr>
                <w:rFonts w:asciiTheme="minorHAnsi" w:hAnsiTheme="minorHAnsi" w:cstheme="minorHAnsi"/>
                <w:bCs/>
              </w:rPr>
              <w:t xml:space="preserve">The good news was that the school had successfully managed the budget for 2023/4, leaving a good springboard for 2024/5. </w:t>
            </w:r>
            <w:r w:rsidR="00C470F6">
              <w:rPr>
                <w:rFonts w:asciiTheme="minorHAnsi" w:hAnsiTheme="minorHAnsi" w:cstheme="minorHAnsi"/>
                <w:bCs/>
              </w:rPr>
              <w:t xml:space="preserve">Camden had confirmed that the final account was out of deficit, giving a positive carry over </w:t>
            </w:r>
            <w:r w:rsidR="007C5F1D">
              <w:rPr>
                <w:rFonts w:asciiTheme="minorHAnsi" w:hAnsiTheme="minorHAnsi" w:cstheme="minorHAnsi"/>
                <w:bCs/>
              </w:rPr>
              <w:t xml:space="preserve">for </w:t>
            </w:r>
            <w:r w:rsidR="007C5F1D">
              <w:rPr>
                <w:rFonts w:asciiTheme="minorHAnsi" w:hAnsiTheme="minorHAnsi" w:cstheme="minorHAnsi"/>
                <w:bCs/>
              </w:rPr>
              <w:lastRenderedPageBreak/>
              <w:t xml:space="preserve">2024/5; </w:t>
            </w:r>
            <w:r w:rsidR="00C470F6">
              <w:rPr>
                <w:rFonts w:asciiTheme="minorHAnsi" w:hAnsiTheme="minorHAnsi" w:cstheme="minorHAnsi"/>
                <w:bCs/>
              </w:rPr>
              <w:t>and t</w:t>
            </w:r>
            <w:r>
              <w:rPr>
                <w:rFonts w:asciiTheme="minorHAnsi" w:hAnsiTheme="minorHAnsi" w:cstheme="minorHAnsi"/>
                <w:bCs/>
              </w:rPr>
              <w:t xml:space="preserve">he planned budget would mean the school </w:t>
            </w:r>
            <w:r w:rsidR="00C470F6">
              <w:rPr>
                <w:rFonts w:asciiTheme="minorHAnsi" w:hAnsiTheme="minorHAnsi" w:cstheme="minorHAnsi"/>
                <w:bCs/>
              </w:rPr>
              <w:t xml:space="preserve">remained </w:t>
            </w:r>
            <w:r>
              <w:rPr>
                <w:rFonts w:asciiTheme="minorHAnsi" w:hAnsiTheme="minorHAnsi" w:cstheme="minorHAnsi"/>
                <w:bCs/>
              </w:rPr>
              <w:t xml:space="preserve">out of deficit </w:t>
            </w:r>
            <w:r w:rsidR="00C470F6">
              <w:rPr>
                <w:rFonts w:asciiTheme="minorHAnsi" w:hAnsiTheme="minorHAnsi" w:cstheme="minorHAnsi"/>
                <w:bCs/>
              </w:rPr>
              <w:t>at the end of</w:t>
            </w:r>
            <w:r>
              <w:rPr>
                <w:rFonts w:asciiTheme="minorHAnsi" w:hAnsiTheme="minorHAnsi" w:cstheme="minorHAnsi"/>
                <w:bCs/>
              </w:rPr>
              <w:t xml:space="preserve"> April 2025.</w:t>
            </w:r>
            <w:r w:rsidR="007C5F1D">
              <w:rPr>
                <w:rFonts w:asciiTheme="minorHAnsi" w:hAnsiTheme="minorHAnsi" w:cstheme="minorHAnsi"/>
                <w:bCs/>
              </w:rPr>
              <w:t xml:space="preserve"> Because the school was now out of deficit they were back in full charge of their budget and did not need to get Camden to confirm it. </w:t>
            </w:r>
          </w:p>
          <w:p w14:paraId="42FA2DCC" w14:textId="77777777" w:rsidR="00EC323F" w:rsidRDefault="00EC323F" w:rsidP="004649CE">
            <w:pPr>
              <w:spacing w:after="120"/>
              <w:rPr>
                <w:rFonts w:asciiTheme="minorHAnsi" w:hAnsiTheme="minorHAnsi" w:cstheme="minorHAnsi"/>
                <w:bCs/>
              </w:rPr>
            </w:pPr>
            <w:r>
              <w:rPr>
                <w:rFonts w:asciiTheme="minorHAnsi" w:hAnsiTheme="minorHAnsi" w:cstheme="minorHAnsi"/>
                <w:bCs/>
              </w:rPr>
              <w:t xml:space="preserve">The school had benefited </w:t>
            </w:r>
            <w:r w:rsidR="00C470F6">
              <w:rPr>
                <w:rFonts w:asciiTheme="minorHAnsi" w:hAnsiTheme="minorHAnsi" w:cstheme="minorHAnsi"/>
                <w:bCs/>
              </w:rPr>
              <w:t xml:space="preserve">in 2023/4 </w:t>
            </w:r>
            <w:r>
              <w:rPr>
                <w:rFonts w:asciiTheme="minorHAnsi" w:hAnsiTheme="minorHAnsi" w:cstheme="minorHAnsi"/>
                <w:bCs/>
              </w:rPr>
              <w:t xml:space="preserve">from two large grants not budgeted for; £130,000 from Homes for Ukraine and £35,000 for Afghan refugees. </w:t>
            </w:r>
            <w:r w:rsidR="00C470F6">
              <w:rPr>
                <w:rFonts w:asciiTheme="minorHAnsi" w:hAnsiTheme="minorHAnsi" w:cstheme="minorHAnsi"/>
                <w:bCs/>
              </w:rPr>
              <w:t xml:space="preserve">Extra funds had also come in via children coming from St </w:t>
            </w:r>
            <w:proofErr w:type="spellStart"/>
            <w:r w:rsidR="00C470F6">
              <w:rPr>
                <w:rFonts w:asciiTheme="minorHAnsi" w:hAnsiTheme="minorHAnsi" w:cstheme="minorHAnsi"/>
                <w:bCs/>
              </w:rPr>
              <w:t>Dominics</w:t>
            </w:r>
            <w:proofErr w:type="spellEnd"/>
            <w:r w:rsidR="00C470F6">
              <w:rPr>
                <w:rFonts w:asciiTheme="minorHAnsi" w:hAnsiTheme="minorHAnsi" w:cstheme="minorHAnsi"/>
                <w:bCs/>
              </w:rPr>
              <w:t xml:space="preserve"> (£17,000); £25,000 extra for pupils with SEND; and more parents paying extra for children to stay in Nursery for up to 30 hours (only the first £15,000 is paid by the government). The school encourages going up to 30 hours as it benefits the children when they move up into Reception. </w:t>
            </w:r>
          </w:p>
          <w:p w14:paraId="412B5A65" w14:textId="77777777" w:rsidR="00C470F6" w:rsidRDefault="00C470F6" w:rsidP="004649CE">
            <w:pPr>
              <w:spacing w:after="120"/>
              <w:rPr>
                <w:rFonts w:asciiTheme="minorHAnsi" w:hAnsiTheme="minorHAnsi" w:cstheme="minorHAnsi"/>
                <w:bCs/>
              </w:rPr>
            </w:pPr>
            <w:r>
              <w:rPr>
                <w:rFonts w:asciiTheme="minorHAnsi" w:hAnsiTheme="minorHAnsi" w:cstheme="minorHAnsi"/>
                <w:bCs/>
              </w:rPr>
              <w:t xml:space="preserve">All cost centres came in within budget, with savings made in administration, learning resources and premises. </w:t>
            </w:r>
          </w:p>
          <w:p w14:paraId="51960B29" w14:textId="77777777" w:rsidR="00C470F6" w:rsidRDefault="00C470F6" w:rsidP="004649CE">
            <w:pPr>
              <w:spacing w:after="120"/>
              <w:rPr>
                <w:rFonts w:asciiTheme="minorHAnsi" w:hAnsiTheme="minorHAnsi" w:cstheme="minorHAnsi"/>
                <w:bCs/>
              </w:rPr>
            </w:pPr>
            <w:r>
              <w:rPr>
                <w:rFonts w:asciiTheme="minorHAnsi" w:hAnsiTheme="minorHAnsi" w:cstheme="minorHAnsi"/>
                <w:bCs/>
              </w:rPr>
              <w:t>The FSP had done a deep dive into agency staff costs to identify why costs here were relatively high; they realised that there was no crisis a</w:t>
            </w:r>
            <w:r w:rsidR="007C5F1D">
              <w:rPr>
                <w:rFonts w:asciiTheme="minorHAnsi" w:hAnsiTheme="minorHAnsi" w:cstheme="minorHAnsi"/>
                <w:bCs/>
              </w:rPr>
              <w:t>s</w:t>
            </w:r>
            <w:r>
              <w:rPr>
                <w:rFonts w:asciiTheme="minorHAnsi" w:hAnsiTheme="minorHAnsi" w:cstheme="minorHAnsi"/>
                <w:bCs/>
              </w:rPr>
              <w:t xml:space="preserve"> the costs were explained by the need for 1:1 support for some pupils with SEND; </w:t>
            </w:r>
            <w:r w:rsidR="007C5F1D">
              <w:rPr>
                <w:rFonts w:asciiTheme="minorHAnsi" w:hAnsiTheme="minorHAnsi" w:cstheme="minorHAnsi"/>
                <w:bCs/>
              </w:rPr>
              <w:t xml:space="preserve">much of </w:t>
            </w:r>
            <w:r>
              <w:rPr>
                <w:rFonts w:asciiTheme="minorHAnsi" w:hAnsiTheme="minorHAnsi" w:cstheme="minorHAnsi"/>
                <w:bCs/>
              </w:rPr>
              <w:t>the funding for that came in to the school eventually. The</w:t>
            </w:r>
            <w:r w:rsidR="007C5F1D">
              <w:rPr>
                <w:rFonts w:asciiTheme="minorHAnsi" w:hAnsiTheme="minorHAnsi" w:cstheme="minorHAnsi"/>
                <w:bCs/>
              </w:rPr>
              <w:t xml:space="preserve"> </w:t>
            </w:r>
            <w:r>
              <w:rPr>
                <w:rFonts w:asciiTheme="minorHAnsi" w:hAnsiTheme="minorHAnsi" w:cstheme="minorHAnsi"/>
                <w:bCs/>
              </w:rPr>
              <w:t xml:space="preserve">budget for 2024/5 would look in detail at this area </w:t>
            </w:r>
            <w:r w:rsidR="007C5F1D">
              <w:rPr>
                <w:rFonts w:asciiTheme="minorHAnsi" w:hAnsiTheme="minorHAnsi" w:cstheme="minorHAnsi"/>
                <w:bCs/>
              </w:rPr>
              <w:t>to help planning for 2025/6.</w:t>
            </w:r>
          </w:p>
          <w:p w14:paraId="316FBDEC" w14:textId="77777777" w:rsidR="007C5F1D" w:rsidRDefault="007C5F1D" w:rsidP="004649CE">
            <w:pPr>
              <w:spacing w:after="120"/>
              <w:rPr>
                <w:rFonts w:asciiTheme="minorHAnsi" w:hAnsiTheme="minorHAnsi" w:cstheme="minorHAnsi"/>
                <w:bCs/>
              </w:rPr>
            </w:pPr>
            <w:r>
              <w:rPr>
                <w:rFonts w:asciiTheme="minorHAnsi" w:hAnsiTheme="minorHAnsi" w:cstheme="minorHAnsi"/>
                <w:bCs/>
              </w:rPr>
              <w:t>The final underspend had been £300,100; because the school had been carrying a deficit from the previous year the actual carry forward was £158,354. This gave the school a little more flexibility for 2024/5 on staffing and capital spend.</w:t>
            </w:r>
          </w:p>
          <w:p w14:paraId="55CA929B" w14:textId="495F72AB" w:rsidR="007C5F1D" w:rsidRDefault="007C5F1D" w:rsidP="004649CE">
            <w:pPr>
              <w:spacing w:after="120"/>
              <w:rPr>
                <w:rFonts w:asciiTheme="minorHAnsi" w:hAnsiTheme="minorHAnsi" w:cstheme="minorHAnsi"/>
                <w:bCs/>
              </w:rPr>
            </w:pPr>
            <w:r>
              <w:rPr>
                <w:rFonts w:asciiTheme="minorHAnsi" w:hAnsiTheme="minorHAnsi" w:cstheme="minorHAnsi"/>
                <w:bCs/>
              </w:rPr>
              <w:t xml:space="preserve">The budget for 2024/5 had been set without using this carry forward. That meant the extra money could be used strategically. After 5 years of turbulence they wanted to maintain the current offer to families, children and the staff team. FSP had looked at risk </w:t>
            </w:r>
            <w:r w:rsidR="00885E3C">
              <w:rPr>
                <w:rFonts w:asciiTheme="minorHAnsi" w:hAnsiTheme="minorHAnsi" w:cstheme="minorHAnsi"/>
                <w:bCs/>
              </w:rPr>
              <w:t>factors and</w:t>
            </w:r>
            <w:r>
              <w:rPr>
                <w:rFonts w:asciiTheme="minorHAnsi" w:hAnsiTheme="minorHAnsi" w:cstheme="minorHAnsi"/>
                <w:bCs/>
              </w:rPr>
              <w:t xml:space="preserve"> intended to divide the contingency roughly into four; </w:t>
            </w:r>
          </w:p>
          <w:p w14:paraId="1A97A905" w14:textId="2A93DFA1" w:rsidR="007C5F1D" w:rsidRDefault="007C5F1D" w:rsidP="007C5F1D">
            <w:pPr>
              <w:pStyle w:val="ListParagraph"/>
              <w:numPr>
                <w:ilvl w:val="0"/>
                <w:numId w:val="6"/>
              </w:numPr>
              <w:spacing w:after="120"/>
              <w:rPr>
                <w:rFonts w:asciiTheme="minorHAnsi" w:hAnsiTheme="minorHAnsi" w:cstheme="minorHAnsi"/>
                <w:bCs/>
              </w:rPr>
            </w:pPr>
            <w:r>
              <w:rPr>
                <w:rFonts w:asciiTheme="minorHAnsi" w:hAnsiTheme="minorHAnsi" w:cstheme="minorHAnsi"/>
                <w:bCs/>
              </w:rPr>
              <w:t>A general contingency of around ¾% of budget (£60-£80,000;)</w:t>
            </w:r>
          </w:p>
          <w:p w14:paraId="6CA9B07B" w14:textId="7DE61E25" w:rsidR="007C5F1D" w:rsidRDefault="007C5F1D" w:rsidP="007C5F1D">
            <w:pPr>
              <w:pStyle w:val="ListParagraph"/>
              <w:numPr>
                <w:ilvl w:val="0"/>
                <w:numId w:val="6"/>
              </w:numPr>
              <w:spacing w:after="120"/>
              <w:rPr>
                <w:rFonts w:asciiTheme="minorHAnsi" w:hAnsiTheme="minorHAnsi" w:cstheme="minorHAnsi"/>
                <w:bCs/>
              </w:rPr>
            </w:pPr>
            <w:r>
              <w:rPr>
                <w:rFonts w:asciiTheme="minorHAnsi" w:hAnsiTheme="minorHAnsi" w:cstheme="minorHAnsi"/>
                <w:bCs/>
              </w:rPr>
              <w:t xml:space="preserve">Money for the senior management to use for easing staffing pinch points – for example, currently KR </w:t>
            </w:r>
            <w:r w:rsidR="001012FD">
              <w:rPr>
                <w:rFonts w:asciiTheme="minorHAnsi" w:hAnsiTheme="minorHAnsi" w:cstheme="minorHAnsi"/>
                <w:bCs/>
              </w:rPr>
              <w:t xml:space="preserve">has to act as a school meals supervisor, which is not a </w:t>
            </w:r>
            <w:proofErr w:type="gramStart"/>
            <w:r w:rsidR="001012FD">
              <w:rPr>
                <w:rFonts w:asciiTheme="minorHAnsi" w:hAnsiTheme="minorHAnsi" w:cstheme="minorHAnsi"/>
                <w:bCs/>
              </w:rPr>
              <w:t>cost effective</w:t>
            </w:r>
            <w:proofErr w:type="gramEnd"/>
            <w:r w:rsidR="001012FD">
              <w:rPr>
                <w:rFonts w:asciiTheme="minorHAnsi" w:hAnsiTheme="minorHAnsi" w:cstheme="minorHAnsi"/>
                <w:bCs/>
              </w:rPr>
              <w:t xml:space="preserve"> use of a Head’s time! Also, they would explore using the existing staff team instead of agency staff in some cases, especially current part timers who might give some extra days. </w:t>
            </w:r>
          </w:p>
          <w:p w14:paraId="4F47F04E" w14:textId="02E48DD1" w:rsidR="001012FD" w:rsidRDefault="001012FD" w:rsidP="007C5F1D">
            <w:pPr>
              <w:pStyle w:val="ListParagraph"/>
              <w:numPr>
                <w:ilvl w:val="0"/>
                <w:numId w:val="6"/>
              </w:numPr>
              <w:spacing w:after="120"/>
              <w:rPr>
                <w:rFonts w:asciiTheme="minorHAnsi" w:hAnsiTheme="minorHAnsi" w:cstheme="minorHAnsi"/>
                <w:bCs/>
              </w:rPr>
            </w:pPr>
            <w:r>
              <w:rPr>
                <w:rFonts w:asciiTheme="minorHAnsi" w:hAnsiTheme="minorHAnsi" w:cstheme="minorHAnsi"/>
                <w:bCs/>
              </w:rPr>
              <w:t>Curriculum provision – this would probably need less as NESSA was generous here, but there would be some leeway for enhancement.</w:t>
            </w:r>
          </w:p>
          <w:p w14:paraId="38DF3606" w14:textId="462CB88A" w:rsidR="001012FD" w:rsidRDefault="001012FD" w:rsidP="007C5F1D">
            <w:pPr>
              <w:pStyle w:val="ListParagraph"/>
              <w:numPr>
                <w:ilvl w:val="0"/>
                <w:numId w:val="6"/>
              </w:numPr>
              <w:spacing w:after="120"/>
              <w:rPr>
                <w:rFonts w:asciiTheme="minorHAnsi" w:hAnsiTheme="minorHAnsi" w:cstheme="minorHAnsi"/>
                <w:bCs/>
              </w:rPr>
            </w:pPr>
            <w:r>
              <w:rPr>
                <w:rFonts w:asciiTheme="minorHAnsi" w:hAnsiTheme="minorHAnsi" w:cstheme="minorHAnsi"/>
                <w:bCs/>
              </w:rPr>
              <w:t xml:space="preserve">Agreed capital priority spend. Major works went through Camden; for example, Camden should be paying for window and roof work this year. But smaller peripheral works were the school’s responsibility. </w:t>
            </w:r>
          </w:p>
          <w:p w14:paraId="553946CF" w14:textId="57C07FD9" w:rsidR="001012FD" w:rsidRDefault="001012FD" w:rsidP="001012FD">
            <w:pPr>
              <w:pStyle w:val="ListParagraph"/>
              <w:spacing w:after="120"/>
              <w:rPr>
                <w:rFonts w:asciiTheme="minorHAnsi" w:hAnsiTheme="minorHAnsi" w:cstheme="minorHAnsi"/>
                <w:bCs/>
              </w:rPr>
            </w:pPr>
            <w:r>
              <w:rPr>
                <w:rFonts w:asciiTheme="minorHAnsi" w:hAnsiTheme="minorHAnsi" w:cstheme="minorHAnsi"/>
                <w:bCs/>
              </w:rPr>
              <w:t xml:space="preserve">An example was the phone sand associated alarm system; BT were on site providing a new cable and the Aurora phone company were </w:t>
            </w:r>
            <w:r>
              <w:rPr>
                <w:rFonts w:asciiTheme="minorHAnsi" w:hAnsiTheme="minorHAnsi" w:cstheme="minorHAnsi"/>
                <w:bCs/>
              </w:rPr>
              <w:lastRenderedPageBreak/>
              <w:t>due to convert the phone system over summer half term. But more work might be needed to the alarms and Entry phones.</w:t>
            </w:r>
          </w:p>
          <w:p w14:paraId="7E56944E" w14:textId="77777777" w:rsidR="001012FD" w:rsidRPr="001012FD" w:rsidRDefault="001012FD" w:rsidP="001012FD">
            <w:pPr>
              <w:pStyle w:val="ListParagraph"/>
              <w:spacing w:after="120"/>
              <w:rPr>
                <w:rFonts w:asciiTheme="minorHAnsi" w:hAnsiTheme="minorHAnsi" w:cstheme="minorHAnsi"/>
                <w:b/>
              </w:rPr>
            </w:pPr>
          </w:p>
          <w:p w14:paraId="74B688D9" w14:textId="4B360C19" w:rsidR="007C5F1D" w:rsidRDefault="001012FD" w:rsidP="004649CE">
            <w:pPr>
              <w:spacing w:after="120"/>
              <w:rPr>
                <w:rFonts w:asciiTheme="minorHAnsi" w:hAnsiTheme="minorHAnsi" w:cstheme="minorHAnsi"/>
                <w:b/>
              </w:rPr>
            </w:pPr>
            <w:r w:rsidRPr="001012FD">
              <w:rPr>
                <w:rFonts w:asciiTheme="minorHAnsi" w:hAnsiTheme="minorHAnsi" w:cstheme="minorHAnsi"/>
                <w:b/>
              </w:rPr>
              <w:t>FSP had agreed that this focussed approach to the budget was prudent and realistic and recommended it to the FGB.</w:t>
            </w:r>
          </w:p>
          <w:p w14:paraId="1A983DD0" w14:textId="69B59BD2" w:rsidR="007C5F1D" w:rsidRDefault="00885E3C" w:rsidP="004649CE">
            <w:pPr>
              <w:spacing w:after="120"/>
              <w:rPr>
                <w:rFonts w:asciiTheme="minorHAnsi" w:hAnsiTheme="minorHAnsi" w:cstheme="minorHAnsi"/>
                <w:bCs/>
              </w:rPr>
            </w:pPr>
            <w:r>
              <w:rPr>
                <w:rFonts w:asciiTheme="minorHAnsi" w:hAnsiTheme="minorHAnsi" w:cstheme="minorHAnsi"/>
                <w:bCs/>
              </w:rPr>
              <w:t xml:space="preserve">VZ noted that a-d above were all one offs that did not create long term liabilities. </w:t>
            </w:r>
          </w:p>
          <w:p w14:paraId="4AA46F63" w14:textId="4D602EF0" w:rsidR="00885E3C" w:rsidRDefault="00885E3C" w:rsidP="004649CE">
            <w:pPr>
              <w:spacing w:after="120"/>
              <w:rPr>
                <w:rFonts w:asciiTheme="minorHAnsi" w:hAnsiTheme="minorHAnsi" w:cstheme="minorHAnsi"/>
                <w:bCs/>
              </w:rPr>
            </w:pPr>
            <w:r>
              <w:rPr>
                <w:rFonts w:asciiTheme="minorHAnsi" w:hAnsiTheme="minorHAnsi" w:cstheme="minorHAnsi"/>
                <w:bCs/>
              </w:rPr>
              <w:t xml:space="preserve">NH said that as staffing was the main cost (over 70% of budget) finance in 2024/5 needed to look again at staff structure and possible tweaks. </w:t>
            </w:r>
          </w:p>
          <w:p w14:paraId="4EBD0F8D" w14:textId="1E3FB5A6" w:rsidR="00885E3C" w:rsidRDefault="00885E3C" w:rsidP="004649CE">
            <w:pPr>
              <w:spacing w:after="120"/>
              <w:rPr>
                <w:rFonts w:asciiTheme="minorHAnsi" w:hAnsiTheme="minorHAnsi" w:cstheme="minorHAnsi"/>
                <w:bCs/>
              </w:rPr>
            </w:pPr>
            <w:r>
              <w:rPr>
                <w:rFonts w:asciiTheme="minorHAnsi" w:hAnsiTheme="minorHAnsi" w:cstheme="minorHAnsi"/>
                <w:bCs/>
              </w:rPr>
              <w:t xml:space="preserve">VZ reminded the FGB that the school had deliberately decided to go into red during lockdown as they had not wanted to make any redundancies at such a difficult time; the deficit budget had not been the result of financial mismanagement. The school had been expected to get back into the black in three years; they had managed to do so in two, despite falling numbers, the loss of Saturday school income and less Covid catch up money than expected from Government. </w:t>
            </w:r>
          </w:p>
          <w:p w14:paraId="78604274" w14:textId="14BDA2ED" w:rsidR="007C5F1D" w:rsidRPr="00A8574C" w:rsidRDefault="00885E3C" w:rsidP="00885E3C">
            <w:pPr>
              <w:spacing w:after="120"/>
              <w:rPr>
                <w:rFonts w:asciiTheme="minorHAnsi" w:hAnsiTheme="minorHAnsi" w:cstheme="minorHAnsi"/>
                <w:bCs/>
              </w:rPr>
            </w:pPr>
            <w:r>
              <w:rPr>
                <w:rFonts w:asciiTheme="minorHAnsi" w:hAnsiTheme="minorHAnsi" w:cstheme="minorHAnsi"/>
                <w:bCs/>
              </w:rPr>
              <w:t xml:space="preserve">The Chair thanked NH and the FSP for their work and the </w:t>
            </w:r>
            <w:r w:rsidRPr="00885E3C">
              <w:rPr>
                <w:rFonts w:asciiTheme="minorHAnsi" w:hAnsiTheme="minorHAnsi" w:cstheme="minorHAnsi"/>
                <w:b/>
              </w:rPr>
              <w:t>FGB were happy to ratify the 2024/5 budget.</w:t>
            </w:r>
          </w:p>
        </w:tc>
        <w:tc>
          <w:tcPr>
            <w:tcW w:w="1134" w:type="dxa"/>
          </w:tcPr>
          <w:p w14:paraId="4F7D0019" w14:textId="77777777" w:rsidR="001E130B" w:rsidRPr="00A8574C" w:rsidRDefault="001E130B" w:rsidP="004649CE">
            <w:pPr>
              <w:spacing w:after="120"/>
              <w:rPr>
                <w:rFonts w:asciiTheme="minorHAnsi" w:hAnsiTheme="minorHAnsi" w:cstheme="minorHAnsi"/>
                <w:b/>
              </w:rPr>
            </w:pPr>
          </w:p>
        </w:tc>
      </w:tr>
      <w:tr w:rsidR="001E130B" w:rsidRPr="009C4D4B" w14:paraId="38ACD3DA" w14:textId="1A36F889" w:rsidTr="001E130B">
        <w:trPr>
          <w:trHeight w:val="505"/>
        </w:trPr>
        <w:tc>
          <w:tcPr>
            <w:tcW w:w="938" w:type="dxa"/>
          </w:tcPr>
          <w:p w14:paraId="4814C3B3" w14:textId="3FCEA79F" w:rsidR="001E130B" w:rsidRPr="00A97E7E" w:rsidRDefault="00A97E7E" w:rsidP="00A97E7E">
            <w:pPr>
              <w:spacing w:after="120" w:line="240" w:lineRule="auto"/>
              <w:rPr>
                <w:rFonts w:asciiTheme="minorHAnsi" w:hAnsiTheme="minorHAnsi" w:cstheme="minorHAnsi"/>
                <w:b/>
              </w:rPr>
            </w:pPr>
            <w:r>
              <w:rPr>
                <w:rFonts w:asciiTheme="minorHAnsi" w:hAnsiTheme="minorHAnsi" w:cstheme="minorHAnsi"/>
                <w:b/>
              </w:rPr>
              <w:lastRenderedPageBreak/>
              <w:t>6</w:t>
            </w:r>
          </w:p>
        </w:tc>
        <w:tc>
          <w:tcPr>
            <w:tcW w:w="6995" w:type="dxa"/>
          </w:tcPr>
          <w:p w14:paraId="5FA4946D" w14:textId="1A48FFFD" w:rsidR="001E130B" w:rsidRPr="00A8574C" w:rsidRDefault="001E130B" w:rsidP="004649CE">
            <w:pPr>
              <w:spacing w:after="120"/>
              <w:rPr>
                <w:rFonts w:asciiTheme="minorHAnsi" w:hAnsiTheme="minorHAnsi" w:cstheme="minorHAnsi"/>
                <w:b/>
              </w:rPr>
            </w:pPr>
            <w:r w:rsidRPr="00A8574C">
              <w:rPr>
                <w:rFonts w:asciiTheme="minorHAnsi" w:hAnsiTheme="minorHAnsi" w:cstheme="minorHAnsi"/>
                <w:b/>
              </w:rPr>
              <w:t>G</w:t>
            </w:r>
            <w:r w:rsidR="00A97E7E">
              <w:rPr>
                <w:rFonts w:asciiTheme="minorHAnsi" w:hAnsiTheme="minorHAnsi" w:cstheme="minorHAnsi"/>
                <w:b/>
              </w:rPr>
              <w:t xml:space="preserve">overnors Monitoring, Development and Training. </w:t>
            </w:r>
          </w:p>
          <w:p w14:paraId="5A4C357D" w14:textId="36D74E8C" w:rsidR="001E130B" w:rsidRPr="00A8574C" w:rsidRDefault="00A97E7E" w:rsidP="00A97E7E">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Three Governors -HN, VZ and CL - were going to the Camden Governor Conference on </w:t>
            </w:r>
            <w:r w:rsidR="00F1396F">
              <w:rPr>
                <w:rFonts w:asciiTheme="minorHAnsi" w:hAnsiTheme="minorHAnsi" w:cstheme="minorHAnsi"/>
                <w:sz w:val="22"/>
                <w:szCs w:val="22"/>
              </w:rPr>
              <w:t>1</w:t>
            </w:r>
            <w:r w:rsidR="001E130B" w:rsidRPr="00A8574C">
              <w:rPr>
                <w:rFonts w:asciiTheme="minorHAnsi" w:hAnsiTheme="minorHAnsi" w:cstheme="minorHAnsi"/>
                <w:sz w:val="22"/>
                <w:szCs w:val="22"/>
              </w:rPr>
              <w:t>8 May.</w:t>
            </w:r>
          </w:p>
        </w:tc>
        <w:tc>
          <w:tcPr>
            <w:tcW w:w="1134" w:type="dxa"/>
          </w:tcPr>
          <w:p w14:paraId="49E96B99" w14:textId="77777777" w:rsidR="001E130B" w:rsidRPr="00A8574C" w:rsidRDefault="001E130B" w:rsidP="004649CE">
            <w:pPr>
              <w:spacing w:after="120"/>
              <w:rPr>
                <w:rFonts w:asciiTheme="minorHAnsi" w:hAnsiTheme="minorHAnsi" w:cstheme="minorHAnsi"/>
                <w:b/>
              </w:rPr>
            </w:pPr>
          </w:p>
        </w:tc>
      </w:tr>
      <w:tr w:rsidR="001E130B" w:rsidRPr="009C4D4B" w14:paraId="0F6FEF8E" w14:textId="76E1DACD" w:rsidTr="001E130B">
        <w:trPr>
          <w:trHeight w:val="505"/>
        </w:trPr>
        <w:tc>
          <w:tcPr>
            <w:tcW w:w="938" w:type="dxa"/>
          </w:tcPr>
          <w:p w14:paraId="59482B0F" w14:textId="484E5F92" w:rsidR="001E130B" w:rsidRPr="00A97E7E" w:rsidRDefault="00A97E7E" w:rsidP="00A97E7E">
            <w:pPr>
              <w:spacing w:after="120" w:line="240" w:lineRule="auto"/>
              <w:rPr>
                <w:rFonts w:asciiTheme="minorHAnsi" w:hAnsiTheme="minorHAnsi" w:cstheme="minorHAnsi"/>
                <w:b/>
              </w:rPr>
            </w:pPr>
            <w:r w:rsidRPr="00A97E7E">
              <w:rPr>
                <w:rFonts w:asciiTheme="minorHAnsi" w:hAnsiTheme="minorHAnsi" w:cstheme="minorHAnsi"/>
                <w:b/>
              </w:rPr>
              <w:t>7</w:t>
            </w:r>
          </w:p>
        </w:tc>
        <w:tc>
          <w:tcPr>
            <w:tcW w:w="6995" w:type="dxa"/>
          </w:tcPr>
          <w:p w14:paraId="40A8C89F" w14:textId="7EB629A1" w:rsidR="001E130B" w:rsidRDefault="00A97E7E" w:rsidP="004649CE">
            <w:pPr>
              <w:spacing w:after="120"/>
              <w:rPr>
                <w:rFonts w:asciiTheme="minorHAnsi" w:hAnsiTheme="minorHAnsi" w:cstheme="minorHAnsi"/>
                <w:b/>
              </w:rPr>
            </w:pPr>
            <w:r>
              <w:rPr>
                <w:rFonts w:asciiTheme="minorHAnsi" w:hAnsiTheme="minorHAnsi" w:cstheme="minorHAnsi"/>
                <w:b/>
              </w:rPr>
              <w:t>Forward planning dates</w:t>
            </w:r>
          </w:p>
          <w:p w14:paraId="4D6F2305" w14:textId="77777777" w:rsidR="00A97E7E" w:rsidRDefault="001E130B" w:rsidP="004649CE">
            <w:pPr>
              <w:spacing w:after="120"/>
              <w:rPr>
                <w:rFonts w:asciiTheme="minorHAnsi" w:hAnsiTheme="minorHAnsi" w:cstheme="minorHAnsi"/>
                <w:bCs/>
              </w:rPr>
            </w:pPr>
            <w:r w:rsidRPr="00A97E7E">
              <w:rPr>
                <w:rFonts w:asciiTheme="minorHAnsi" w:hAnsiTheme="minorHAnsi" w:cstheme="minorHAnsi"/>
                <w:bCs/>
              </w:rPr>
              <w:t>Next FGB 9.15am 4 July 2024</w:t>
            </w:r>
          </w:p>
          <w:p w14:paraId="156CF140" w14:textId="68629767" w:rsidR="001E130B" w:rsidRPr="00A97E7E" w:rsidRDefault="00A97E7E" w:rsidP="00A97E7E">
            <w:pPr>
              <w:pStyle w:val="ecxmsolistparagraph"/>
              <w:spacing w:after="0"/>
              <w:rPr>
                <w:rFonts w:asciiTheme="minorHAnsi" w:hAnsiTheme="minorHAnsi" w:cstheme="minorHAnsi"/>
                <w:bCs/>
                <w:sz w:val="22"/>
                <w:szCs w:val="22"/>
              </w:rPr>
            </w:pPr>
            <w:r>
              <w:rPr>
                <w:rFonts w:asciiTheme="minorHAnsi" w:hAnsiTheme="minorHAnsi" w:cstheme="minorHAnsi"/>
                <w:bCs/>
                <w:sz w:val="22"/>
                <w:szCs w:val="22"/>
              </w:rPr>
              <w:t xml:space="preserve">Governors </w:t>
            </w:r>
            <w:r w:rsidR="001E130B">
              <w:rPr>
                <w:rFonts w:asciiTheme="minorHAnsi" w:hAnsiTheme="minorHAnsi" w:cstheme="minorHAnsi"/>
                <w:bCs/>
                <w:sz w:val="22"/>
                <w:szCs w:val="22"/>
              </w:rPr>
              <w:t>confirm</w:t>
            </w:r>
            <w:r>
              <w:rPr>
                <w:rFonts w:asciiTheme="minorHAnsi" w:hAnsiTheme="minorHAnsi" w:cstheme="minorHAnsi"/>
                <w:bCs/>
                <w:sz w:val="22"/>
                <w:szCs w:val="22"/>
              </w:rPr>
              <w:t>ed</w:t>
            </w:r>
            <w:r w:rsidR="001E130B">
              <w:rPr>
                <w:rFonts w:asciiTheme="minorHAnsi" w:hAnsiTheme="minorHAnsi" w:cstheme="minorHAnsi"/>
                <w:bCs/>
                <w:sz w:val="22"/>
                <w:szCs w:val="22"/>
              </w:rPr>
              <w:t xml:space="preserve"> that FGB for 2024/5 will be on Tuesday mornings. Dates to </w:t>
            </w:r>
            <w:r>
              <w:rPr>
                <w:rFonts w:asciiTheme="minorHAnsi" w:hAnsiTheme="minorHAnsi" w:cstheme="minorHAnsi"/>
                <w:bCs/>
                <w:sz w:val="22"/>
                <w:szCs w:val="22"/>
              </w:rPr>
              <w:t xml:space="preserve">be agreed on 4 July. </w:t>
            </w:r>
          </w:p>
        </w:tc>
        <w:tc>
          <w:tcPr>
            <w:tcW w:w="1134" w:type="dxa"/>
          </w:tcPr>
          <w:p w14:paraId="3D268A1A" w14:textId="77777777" w:rsidR="001E130B" w:rsidRDefault="001E130B" w:rsidP="004649CE">
            <w:pPr>
              <w:spacing w:after="120"/>
              <w:rPr>
                <w:rFonts w:asciiTheme="minorHAnsi" w:hAnsiTheme="minorHAnsi" w:cstheme="minorHAnsi"/>
                <w:b/>
              </w:rPr>
            </w:pPr>
          </w:p>
          <w:p w14:paraId="5A55178F" w14:textId="77777777" w:rsidR="00A97E7E" w:rsidRDefault="00A97E7E" w:rsidP="004649CE">
            <w:pPr>
              <w:spacing w:after="120"/>
              <w:rPr>
                <w:rFonts w:asciiTheme="minorHAnsi" w:hAnsiTheme="minorHAnsi" w:cstheme="minorHAnsi"/>
                <w:b/>
              </w:rPr>
            </w:pPr>
          </w:p>
          <w:p w14:paraId="5193E5BB" w14:textId="3F55A17D" w:rsidR="00A97E7E" w:rsidRPr="00216C50" w:rsidRDefault="00A97E7E" w:rsidP="004649CE">
            <w:pPr>
              <w:spacing w:after="120"/>
              <w:rPr>
                <w:rFonts w:asciiTheme="minorHAnsi" w:hAnsiTheme="minorHAnsi" w:cstheme="minorHAnsi"/>
                <w:b/>
              </w:rPr>
            </w:pPr>
            <w:r>
              <w:rPr>
                <w:rFonts w:asciiTheme="minorHAnsi" w:hAnsiTheme="minorHAnsi" w:cstheme="minorHAnsi"/>
                <w:b/>
              </w:rPr>
              <w:t>Clerk</w:t>
            </w:r>
          </w:p>
        </w:tc>
      </w:tr>
      <w:tr w:rsidR="001E130B" w:rsidRPr="009C4D4B" w14:paraId="22FF62B7" w14:textId="21281ACC" w:rsidTr="001E130B">
        <w:trPr>
          <w:trHeight w:val="505"/>
        </w:trPr>
        <w:tc>
          <w:tcPr>
            <w:tcW w:w="938" w:type="dxa"/>
          </w:tcPr>
          <w:p w14:paraId="5445E31E" w14:textId="0F87CB62" w:rsidR="001E130B" w:rsidRPr="00A97E7E" w:rsidRDefault="00A97E7E" w:rsidP="00A97E7E">
            <w:pPr>
              <w:spacing w:after="120" w:line="240" w:lineRule="auto"/>
              <w:rPr>
                <w:rFonts w:asciiTheme="minorHAnsi" w:hAnsiTheme="minorHAnsi" w:cstheme="minorHAnsi"/>
                <w:b/>
              </w:rPr>
            </w:pPr>
            <w:r w:rsidRPr="00A97E7E">
              <w:rPr>
                <w:rFonts w:asciiTheme="minorHAnsi" w:hAnsiTheme="minorHAnsi" w:cstheme="minorHAnsi"/>
                <w:b/>
              </w:rPr>
              <w:t>8</w:t>
            </w:r>
          </w:p>
        </w:tc>
        <w:tc>
          <w:tcPr>
            <w:tcW w:w="6995" w:type="dxa"/>
          </w:tcPr>
          <w:p w14:paraId="64185E05" w14:textId="77777777" w:rsidR="001E130B" w:rsidRDefault="00A97E7E" w:rsidP="004649CE">
            <w:pPr>
              <w:spacing w:after="120"/>
              <w:rPr>
                <w:rFonts w:asciiTheme="minorHAnsi" w:hAnsiTheme="minorHAnsi" w:cstheme="minorHAnsi"/>
                <w:b/>
              </w:rPr>
            </w:pPr>
            <w:r>
              <w:rPr>
                <w:rFonts w:asciiTheme="minorHAnsi" w:hAnsiTheme="minorHAnsi" w:cstheme="minorHAnsi"/>
                <w:b/>
              </w:rPr>
              <w:t>Any other urgent business</w:t>
            </w:r>
          </w:p>
          <w:p w14:paraId="0DAC2C0D" w14:textId="77777777" w:rsidR="00A97E7E" w:rsidRDefault="00A97E7E" w:rsidP="004649CE">
            <w:pPr>
              <w:spacing w:after="120"/>
              <w:rPr>
                <w:rFonts w:asciiTheme="minorHAnsi" w:hAnsiTheme="minorHAnsi" w:cstheme="minorHAnsi"/>
                <w:bCs/>
              </w:rPr>
            </w:pPr>
            <w:r w:rsidRPr="00A97E7E">
              <w:rPr>
                <w:rFonts w:asciiTheme="minorHAnsi" w:hAnsiTheme="minorHAnsi" w:cstheme="minorHAnsi"/>
                <w:bCs/>
              </w:rPr>
              <w:t xml:space="preserve">There was a planning application for the roof works; the link would be sent to Governors. </w:t>
            </w:r>
          </w:p>
          <w:p w14:paraId="1826C926" w14:textId="02E3A227" w:rsidR="00F1396F" w:rsidRPr="00A97E7E" w:rsidRDefault="00F1396F" w:rsidP="004649CE">
            <w:pPr>
              <w:spacing w:after="120"/>
              <w:rPr>
                <w:rFonts w:asciiTheme="minorHAnsi" w:hAnsiTheme="minorHAnsi" w:cstheme="minorHAnsi"/>
                <w:bCs/>
              </w:rPr>
            </w:pPr>
            <w:r>
              <w:rPr>
                <w:rFonts w:asciiTheme="minorHAnsi" w:hAnsiTheme="minorHAnsi" w:cstheme="minorHAnsi"/>
                <w:bCs/>
              </w:rPr>
              <w:t>The Head confirmed that SATS were finished and she felt that Year 6 had made huge progress. Next assessments would be phonics Year 1</w:t>
            </w:r>
            <w:r w:rsidR="00364226">
              <w:rPr>
                <w:rFonts w:asciiTheme="minorHAnsi" w:hAnsiTheme="minorHAnsi" w:cstheme="minorHAnsi"/>
                <w:bCs/>
              </w:rPr>
              <w:t xml:space="preserve"> plus  Early Years assessments.  </w:t>
            </w:r>
          </w:p>
        </w:tc>
        <w:tc>
          <w:tcPr>
            <w:tcW w:w="1134" w:type="dxa"/>
          </w:tcPr>
          <w:p w14:paraId="1A98B57D" w14:textId="4E4DBB9F" w:rsidR="001E130B" w:rsidRPr="00216C50" w:rsidRDefault="00A97E7E" w:rsidP="004649CE">
            <w:pPr>
              <w:spacing w:after="120"/>
              <w:rPr>
                <w:rFonts w:asciiTheme="minorHAnsi" w:hAnsiTheme="minorHAnsi" w:cstheme="minorHAnsi"/>
                <w:b/>
              </w:rPr>
            </w:pPr>
            <w:r>
              <w:rPr>
                <w:rFonts w:asciiTheme="minorHAnsi" w:hAnsiTheme="minorHAnsi" w:cstheme="minorHAnsi"/>
                <w:b/>
              </w:rPr>
              <w:t>AG</w:t>
            </w:r>
          </w:p>
        </w:tc>
      </w:tr>
      <w:tr w:rsidR="001E130B" w:rsidRPr="009C4D4B" w14:paraId="4A75D41C" w14:textId="4E7CDAB5" w:rsidTr="001E130B">
        <w:trPr>
          <w:trHeight w:val="505"/>
        </w:trPr>
        <w:tc>
          <w:tcPr>
            <w:tcW w:w="938" w:type="dxa"/>
          </w:tcPr>
          <w:p w14:paraId="3A7ACAE4" w14:textId="0C9E5E74" w:rsidR="001E130B" w:rsidRPr="00A97E7E" w:rsidRDefault="00A97E7E" w:rsidP="00A97E7E">
            <w:pPr>
              <w:spacing w:after="120" w:line="240" w:lineRule="auto"/>
              <w:rPr>
                <w:rFonts w:asciiTheme="minorHAnsi" w:hAnsiTheme="minorHAnsi" w:cstheme="minorHAnsi"/>
                <w:b/>
              </w:rPr>
            </w:pPr>
            <w:r>
              <w:rPr>
                <w:rFonts w:asciiTheme="minorHAnsi" w:hAnsiTheme="minorHAnsi" w:cstheme="minorHAnsi"/>
                <w:b/>
              </w:rPr>
              <w:t>9.</w:t>
            </w:r>
          </w:p>
        </w:tc>
        <w:tc>
          <w:tcPr>
            <w:tcW w:w="6995" w:type="dxa"/>
          </w:tcPr>
          <w:p w14:paraId="13C66073" w14:textId="633D1B2E" w:rsidR="001E130B" w:rsidRPr="00216C50" w:rsidRDefault="00A97E7E" w:rsidP="004649CE">
            <w:pPr>
              <w:spacing w:after="120"/>
              <w:rPr>
                <w:rFonts w:asciiTheme="minorHAnsi" w:hAnsiTheme="minorHAnsi" w:cstheme="minorHAnsi"/>
                <w:b/>
              </w:rPr>
            </w:pPr>
            <w:r>
              <w:rPr>
                <w:rFonts w:asciiTheme="minorHAnsi" w:hAnsiTheme="minorHAnsi" w:cstheme="minorHAnsi"/>
                <w:b/>
              </w:rPr>
              <w:t>Confidential Items</w:t>
            </w:r>
          </w:p>
          <w:p w14:paraId="3C6EEA87" w14:textId="4A094234" w:rsidR="001E130B" w:rsidRPr="0013064B" w:rsidRDefault="001E130B" w:rsidP="001E130B">
            <w:pPr>
              <w:pStyle w:val="ListParagraph"/>
              <w:numPr>
                <w:ilvl w:val="0"/>
                <w:numId w:val="5"/>
              </w:numPr>
              <w:spacing w:after="120" w:line="240" w:lineRule="auto"/>
              <w:contextualSpacing w:val="0"/>
              <w:rPr>
                <w:rFonts w:asciiTheme="minorHAnsi" w:hAnsiTheme="minorHAnsi" w:cstheme="minorHAnsi"/>
                <w:bCs/>
              </w:rPr>
            </w:pPr>
            <w:r w:rsidRPr="00216C50">
              <w:rPr>
                <w:rFonts w:asciiTheme="minorHAnsi" w:hAnsiTheme="minorHAnsi" w:cstheme="minorHAnsi"/>
                <w:bCs/>
              </w:rPr>
              <w:t>Safeguarding</w:t>
            </w:r>
            <w:r w:rsidR="00F1396F">
              <w:rPr>
                <w:rFonts w:asciiTheme="minorHAnsi" w:hAnsiTheme="minorHAnsi" w:cstheme="minorHAnsi"/>
                <w:bCs/>
              </w:rPr>
              <w:t xml:space="preserve"> – no issues reported</w:t>
            </w:r>
          </w:p>
          <w:p w14:paraId="06281337" w14:textId="71D053CF" w:rsidR="001E130B" w:rsidRPr="00862FC6" w:rsidRDefault="001E130B" w:rsidP="001E130B">
            <w:pPr>
              <w:pStyle w:val="ListParagraph"/>
              <w:numPr>
                <w:ilvl w:val="0"/>
                <w:numId w:val="5"/>
              </w:numPr>
              <w:spacing w:after="120" w:line="240" w:lineRule="auto"/>
              <w:contextualSpacing w:val="0"/>
              <w:rPr>
                <w:rFonts w:asciiTheme="minorHAnsi" w:hAnsiTheme="minorHAnsi" w:cstheme="minorHAnsi"/>
                <w:bCs/>
              </w:rPr>
            </w:pPr>
            <w:r w:rsidRPr="00216C50">
              <w:rPr>
                <w:rFonts w:asciiTheme="minorHAnsi" w:hAnsiTheme="minorHAnsi" w:cstheme="minorHAnsi"/>
                <w:bCs/>
              </w:rPr>
              <w:t xml:space="preserve">Numbers on Roll </w:t>
            </w:r>
            <w:r w:rsidR="00F1396F">
              <w:rPr>
                <w:rFonts w:asciiTheme="minorHAnsi" w:hAnsiTheme="minorHAnsi" w:cstheme="minorHAnsi"/>
                <w:bCs/>
              </w:rPr>
              <w:t>- see Confidential minutes</w:t>
            </w:r>
          </w:p>
        </w:tc>
        <w:tc>
          <w:tcPr>
            <w:tcW w:w="1134" w:type="dxa"/>
          </w:tcPr>
          <w:p w14:paraId="26DF3BEE" w14:textId="77777777" w:rsidR="001E130B" w:rsidRPr="00216C50" w:rsidRDefault="001E130B" w:rsidP="004649CE">
            <w:pPr>
              <w:spacing w:after="120"/>
              <w:rPr>
                <w:rFonts w:asciiTheme="minorHAnsi" w:hAnsiTheme="minorHAnsi" w:cstheme="minorHAnsi"/>
                <w:b/>
              </w:rPr>
            </w:pPr>
          </w:p>
        </w:tc>
      </w:tr>
    </w:tbl>
    <w:p w14:paraId="5191DDBD" w14:textId="77777777" w:rsidR="001E130B" w:rsidRDefault="001E130B"/>
    <w:p w14:paraId="2454AA6E" w14:textId="77777777" w:rsidR="00F22D0F" w:rsidRDefault="00F22D0F"/>
    <w:tbl>
      <w:tblPr>
        <w:tblStyle w:val="TableGrid"/>
        <w:tblW w:w="0" w:type="auto"/>
        <w:tblLook w:val="04A0" w:firstRow="1" w:lastRow="0" w:firstColumn="1" w:lastColumn="0" w:noHBand="0" w:noVBand="1"/>
      </w:tblPr>
      <w:tblGrid>
        <w:gridCol w:w="1249"/>
        <w:gridCol w:w="5293"/>
        <w:gridCol w:w="1176"/>
        <w:gridCol w:w="1298"/>
      </w:tblGrid>
      <w:tr w:rsidR="005C248B" w14:paraId="5060704C" w14:textId="249335D4" w:rsidTr="00D463A2">
        <w:tc>
          <w:tcPr>
            <w:tcW w:w="1249" w:type="dxa"/>
            <w:tcBorders>
              <w:bottom w:val="single" w:sz="4" w:space="0" w:color="auto"/>
            </w:tcBorders>
          </w:tcPr>
          <w:p w14:paraId="746E2B07" w14:textId="6F406E74" w:rsidR="005C248B" w:rsidRDefault="005C248B">
            <w:r>
              <w:t>Ref</w:t>
            </w:r>
          </w:p>
        </w:tc>
        <w:tc>
          <w:tcPr>
            <w:tcW w:w="5293" w:type="dxa"/>
            <w:tcBorders>
              <w:bottom w:val="single" w:sz="4" w:space="0" w:color="auto"/>
            </w:tcBorders>
          </w:tcPr>
          <w:p w14:paraId="4175A3CE" w14:textId="26BE08B5" w:rsidR="005C248B" w:rsidRDefault="005C248B">
            <w:r>
              <w:t>Actions noted in the minutes</w:t>
            </w:r>
          </w:p>
        </w:tc>
        <w:tc>
          <w:tcPr>
            <w:tcW w:w="1176" w:type="dxa"/>
            <w:tcBorders>
              <w:bottom w:val="single" w:sz="4" w:space="0" w:color="auto"/>
            </w:tcBorders>
          </w:tcPr>
          <w:p w14:paraId="5919DDD7" w14:textId="214E3E0F" w:rsidR="005C248B" w:rsidRDefault="005C248B">
            <w:r>
              <w:t xml:space="preserve">Who </w:t>
            </w:r>
          </w:p>
        </w:tc>
        <w:tc>
          <w:tcPr>
            <w:tcW w:w="1298" w:type="dxa"/>
            <w:tcBorders>
              <w:bottom w:val="single" w:sz="4" w:space="0" w:color="auto"/>
            </w:tcBorders>
          </w:tcPr>
          <w:p w14:paraId="3E84CC4C" w14:textId="2AA47E15" w:rsidR="005C248B" w:rsidRDefault="005C248B">
            <w:r>
              <w:t>Completed</w:t>
            </w:r>
          </w:p>
        </w:tc>
      </w:tr>
    </w:tbl>
    <w:p w14:paraId="4E98158B" w14:textId="77777777" w:rsidR="00F1396F" w:rsidRDefault="00F1396F" w:rsidP="00F1396F">
      <w:pPr>
        <w:rPr>
          <w:b/>
          <w:bCs/>
        </w:rPr>
      </w:pPr>
    </w:p>
    <w:p w14:paraId="3E896070" w14:textId="119F58DA" w:rsidR="00F1396F" w:rsidRPr="00817713" w:rsidRDefault="00F1396F" w:rsidP="00F1396F">
      <w:pPr>
        <w:rPr>
          <w:b/>
          <w:bCs/>
        </w:rPr>
      </w:pPr>
      <w:r w:rsidRPr="00817713">
        <w:rPr>
          <w:b/>
          <w:bCs/>
        </w:rPr>
        <w:t xml:space="preserve">ITEMS FOR ACTION FROM </w:t>
      </w:r>
      <w:r>
        <w:rPr>
          <w:b/>
          <w:bCs/>
        </w:rPr>
        <w:t>16 MAY</w:t>
      </w:r>
    </w:p>
    <w:tbl>
      <w:tblPr>
        <w:tblStyle w:val="TableGrid"/>
        <w:tblW w:w="0" w:type="auto"/>
        <w:tblLook w:val="04A0" w:firstRow="1" w:lastRow="0" w:firstColumn="1" w:lastColumn="0" w:noHBand="0" w:noVBand="1"/>
      </w:tblPr>
      <w:tblGrid>
        <w:gridCol w:w="1184"/>
        <w:gridCol w:w="5071"/>
        <w:gridCol w:w="1463"/>
        <w:gridCol w:w="1298"/>
      </w:tblGrid>
      <w:tr w:rsidR="00F1396F" w14:paraId="4B04CD84" w14:textId="77777777" w:rsidTr="004649CE">
        <w:tc>
          <w:tcPr>
            <w:tcW w:w="1184" w:type="dxa"/>
            <w:shd w:val="clear" w:color="auto" w:fill="B4C6E7" w:themeFill="accent1" w:themeFillTint="66"/>
          </w:tcPr>
          <w:p w14:paraId="37458C31" w14:textId="77777777" w:rsidR="00F1396F" w:rsidRDefault="00F1396F" w:rsidP="004649CE">
            <w:r>
              <w:t>REF</w:t>
            </w:r>
          </w:p>
        </w:tc>
        <w:tc>
          <w:tcPr>
            <w:tcW w:w="5071" w:type="dxa"/>
            <w:shd w:val="clear" w:color="auto" w:fill="B4C6E7" w:themeFill="accent1" w:themeFillTint="66"/>
          </w:tcPr>
          <w:p w14:paraId="02201609" w14:textId="77777777" w:rsidR="00F1396F" w:rsidRDefault="00F1396F" w:rsidP="004649CE">
            <w:r>
              <w:t>Actions noted in the minutes</w:t>
            </w:r>
          </w:p>
        </w:tc>
        <w:tc>
          <w:tcPr>
            <w:tcW w:w="1463" w:type="dxa"/>
            <w:shd w:val="clear" w:color="auto" w:fill="B4C6E7" w:themeFill="accent1" w:themeFillTint="66"/>
          </w:tcPr>
          <w:p w14:paraId="23FA0FC4" w14:textId="77777777" w:rsidR="00F1396F" w:rsidRDefault="00F1396F" w:rsidP="004649CE">
            <w:r>
              <w:t>WHO</w:t>
            </w:r>
          </w:p>
        </w:tc>
        <w:tc>
          <w:tcPr>
            <w:tcW w:w="1298" w:type="dxa"/>
            <w:shd w:val="clear" w:color="auto" w:fill="B4C6E7" w:themeFill="accent1" w:themeFillTint="66"/>
          </w:tcPr>
          <w:p w14:paraId="4B3BAA65" w14:textId="77777777" w:rsidR="00F1396F" w:rsidRDefault="00F1396F" w:rsidP="004649CE">
            <w:r>
              <w:t>Completed?</w:t>
            </w:r>
          </w:p>
        </w:tc>
      </w:tr>
      <w:tr w:rsidR="00F1396F" w14:paraId="5DF12FB9" w14:textId="77777777" w:rsidTr="004649CE">
        <w:trPr>
          <w:trHeight w:val="1266"/>
        </w:trPr>
        <w:tc>
          <w:tcPr>
            <w:tcW w:w="1184" w:type="dxa"/>
          </w:tcPr>
          <w:p w14:paraId="124D1F37" w14:textId="2FA05CD1" w:rsidR="00F1396F" w:rsidRDefault="00F1396F" w:rsidP="004649CE">
            <w:r>
              <w:t>1</w:t>
            </w:r>
          </w:p>
        </w:tc>
        <w:tc>
          <w:tcPr>
            <w:tcW w:w="5071" w:type="dxa"/>
          </w:tcPr>
          <w:p w14:paraId="7FD5DCCE" w14:textId="2EB6C0F5" w:rsidR="00F1396F" w:rsidRPr="00C66DE7" w:rsidRDefault="00F1396F" w:rsidP="004649CE">
            <w:r>
              <w:t>NS and Camden to send school detail of legal situation re nursery building.</w:t>
            </w:r>
          </w:p>
        </w:tc>
        <w:tc>
          <w:tcPr>
            <w:tcW w:w="1463" w:type="dxa"/>
          </w:tcPr>
          <w:p w14:paraId="5EF9224A" w14:textId="34154D66" w:rsidR="00F1396F" w:rsidRDefault="00F1396F" w:rsidP="004649CE"/>
        </w:tc>
        <w:tc>
          <w:tcPr>
            <w:tcW w:w="1298" w:type="dxa"/>
          </w:tcPr>
          <w:p w14:paraId="16A54914" w14:textId="30471198" w:rsidR="00F1396F" w:rsidRDefault="00F1396F" w:rsidP="004649CE"/>
        </w:tc>
      </w:tr>
      <w:tr w:rsidR="00F1396F" w14:paraId="590220EA" w14:textId="77777777" w:rsidTr="004649CE">
        <w:tc>
          <w:tcPr>
            <w:tcW w:w="1184" w:type="dxa"/>
          </w:tcPr>
          <w:p w14:paraId="08C0B389" w14:textId="71BD364B" w:rsidR="00F1396F" w:rsidRDefault="00F1396F" w:rsidP="004649CE">
            <w:r>
              <w:t>7</w:t>
            </w:r>
          </w:p>
        </w:tc>
        <w:tc>
          <w:tcPr>
            <w:tcW w:w="5071" w:type="dxa"/>
          </w:tcPr>
          <w:p w14:paraId="63B454C0" w14:textId="2FCAB61F" w:rsidR="00F1396F" w:rsidRDefault="00F1396F" w:rsidP="004649CE">
            <w:r>
              <w:t xml:space="preserve">Dates for 2024/5 on next FGB Agenda </w:t>
            </w:r>
          </w:p>
        </w:tc>
        <w:tc>
          <w:tcPr>
            <w:tcW w:w="1463" w:type="dxa"/>
          </w:tcPr>
          <w:p w14:paraId="18243C9E" w14:textId="3474008F" w:rsidR="00F1396F" w:rsidRDefault="00F1396F" w:rsidP="004649CE">
            <w:r>
              <w:t>Clerk</w:t>
            </w:r>
          </w:p>
        </w:tc>
        <w:tc>
          <w:tcPr>
            <w:tcW w:w="1298" w:type="dxa"/>
          </w:tcPr>
          <w:p w14:paraId="41363E55" w14:textId="40675BC3" w:rsidR="00F1396F" w:rsidRDefault="00F1396F" w:rsidP="004649CE">
            <w:r>
              <w:t>Yes</w:t>
            </w:r>
          </w:p>
        </w:tc>
      </w:tr>
    </w:tbl>
    <w:p w14:paraId="71C395E6" w14:textId="77777777" w:rsidR="005C248B" w:rsidRDefault="005C248B"/>
    <w:p w14:paraId="527E3649" w14:textId="77777777" w:rsidR="00945CCC" w:rsidRDefault="00945CCC"/>
    <w:p w14:paraId="3B68657F" w14:textId="13C8AE96" w:rsidR="00AF1BF9" w:rsidRDefault="00F25C16">
      <w:r>
        <w:t xml:space="preserve">Signed                                                                                        Date </w:t>
      </w:r>
    </w:p>
    <w:p w14:paraId="71BD674D" w14:textId="77777777" w:rsidR="00AF1BF9" w:rsidRDefault="00AF1BF9"/>
    <w:p w14:paraId="101B750D" w14:textId="77777777" w:rsidR="00AF1BF9" w:rsidRDefault="00AF1BF9"/>
    <w:p w14:paraId="522B7F00" w14:textId="77777777" w:rsidR="00AF1BF9" w:rsidRDefault="00AF1BF9"/>
    <w:p w14:paraId="39E62B0B" w14:textId="77777777" w:rsidR="00AF1BF9" w:rsidRDefault="00AF1BF9"/>
    <w:p w14:paraId="0F2C24A2" w14:textId="77777777" w:rsidR="00AF1BF9" w:rsidRDefault="00AF1BF9"/>
    <w:sectPr w:rsidR="00AF1BF9">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49C6D" w14:textId="77777777" w:rsidR="0077245A" w:rsidRDefault="0077245A" w:rsidP="00570566">
      <w:pPr>
        <w:spacing w:after="0" w:line="240" w:lineRule="auto"/>
      </w:pPr>
      <w:r>
        <w:separator/>
      </w:r>
    </w:p>
  </w:endnote>
  <w:endnote w:type="continuationSeparator" w:id="0">
    <w:p w14:paraId="1D8C12A8" w14:textId="77777777" w:rsidR="0077245A" w:rsidRDefault="0077245A" w:rsidP="0057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20444808"/>
      <w:docPartObj>
        <w:docPartGallery w:val="Page Numbers (Bottom of Page)"/>
        <w:docPartUnique/>
      </w:docPartObj>
    </w:sdtPr>
    <w:sdtEndPr>
      <w:rPr>
        <w:rStyle w:val="PageNumber"/>
      </w:rPr>
    </w:sdtEndPr>
    <w:sdtContent>
      <w:p w14:paraId="77CCDF77" w14:textId="37DD898F" w:rsidR="00570566" w:rsidRDefault="00570566" w:rsidP="00E855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A360FE" w14:textId="77777777" w:rsidR="00570566" w:rsidRDefault="00570566" w:rsidP="005705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69370499"/>
      <w:docPartObj>
        <w:docPartGallery w:val="Page Numbers (Bottom of Page)"/>
        <w:docPartUnique/>
      </w:docPartObj>
    </w:sdtPr>
    <w:sdtEndPr>
      <w:rPr>
        <w:rStyle w:val="PageNumber"/>
      </w:rPr>
    </w:sdtEndPr>
    <w:sdtContent>
      <w:p w14:paraId="4486FED2" w14:textId="6A375B8C" w:rsidR="00570566" w:rsidRDefault="00570566" w:rsidP="00E855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0E7ABA" w14:textId="2164FC46" w:rsidR="00570566" w:rsidRDefault="009E2EAE" w:rsidP="00570566">
    <w:pPr>
      <w:pStyle w:val="Footer"/>
      <w:ind w:right="360"/>
    </w:pPr>
    <w:r>
      <w:t xml:space="preserve">New End School          Clerk Gill Green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8AB04" w14:textId="77777777" w:rsidR="0077245A" w:rsidRDefault="0077245A" w:rsidP="00570566">
      <w:pPr>
        <w:spacing w:after="0" w:line="240" w:lineRule="auto"/>
      </w:pPr>
      <w:r>
        <w:separator/>
      </w:r>
    </w:p>
  </w:footnote>
  <w:footnote w:type="continuationSeparator" w:id="0">
    <w:p w14:paraId="5E74BA99" w14:textId="77777777" w:rsidR="0077245A" w:rsidRDefault="0077245A" w:rsidP="00570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91204358"/>
      <w:docPartObj>
        <w:docPartGallery w:val="Page Numbers (Top of Page)"/>
        <w:docPartUnique/>
      </w:docPartObj>
    </w:sdtPr>
    <w:sdtEndPr>
      <w:rPr>
        <w:rStyle w:val="PageNumber"/>
      </w:rPr>
    </w:sdtEndPr>
    <w:sdtContent>
      <w:p w14:paraId="653EFC46" w14:textId="712E83DC" w:rsidR="00AF1BF9" w:rsidRDefault="00AF1BF9" w:rsidP="00A124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59B98" w14:textId="77777777" w:rsidR="00377FA6" w:rsidRDefault="00377FA6" w:rsidP="00AF1BF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37133688"/>
      <w:docPartObj>
        <w:docPartGallery w:val="Page Numbers (Top of Page)"/>
        <w:docPartUnique/>
      </w:docPartObj>
    </w:sdtPr>
    <w:sdtEndPr>
      <w:rPr>
        <w:rStyle w:val="PageNumber"/>
      </w:rPr>
    </w:sdtEndPr>
    <w:sdtContent>
      <w:p w14:paraId="66E420DF" w14:textId="303764DF" w:rsidR="00AF1BF9" w:rsidRDefault="00AF1BF9" w:rsidP="00A124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6C9DA8" w14:textId="07D26FF6" w:rsidR="003E6F6F" w:rsidRDefault="003E6F6F" w:rsidP="00AF1BF9">
    <w:pPr>
      <w:pStyle w:val="Header"/>
      <w:ind w:right="360"/>
    </w:pPr>
    <w:r>
      <w:t xml:space="preserve">FGB minutes </w:t>
    </w:r>
    <w:r w:rsidR="001E130B">
      <w:t>16 May</w:t>
    </w:r>
    <w:r w:rsidR="00377FA6">
      <w:t xml:space="preserve"> 2024</w:t>
    </w:r>
  </w:p>
  <w:p w14:paraId="076B1A39" w14:textId="561C6C1E" w:rsidR="00570566" w:rsidRDefault="0057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33613"/>
    <w:multiLevelType w:val="hybridMultilevel"/>
    <w:tmpl w:val="EC8AF29A"/>
    <w:lvl w:ilvl="0" w:tplc="231E894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BD359F"/>
    <w:multiLevelType w:val="multilevel"/>
    <w:tmpl w:val="B73AAC9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63E40F2"/>
    <w:multiLevelType w:val="hybridMultilevel"/>
    <w:tmpl w:val="66C286F4"/>
    <w:lvl w:ilvl="0" w:tplc="1DB636CE">
      <w:start w:val="1"/>
      <w:numFmt w:val="decimal"/>
      <w:lvlText w:val="1.%1."/>
      <w:lvlJc w:val="left"/>
      <w:pPr>
        <w:ind w:left="1066" w:hanging="360"/>
      </w:pPr>
      <w:rPr>
        <w:rFonts w:hint="default"/>
      </w:r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3" w15:restartNumberingAfterBreak="0">
    <w:nsid w:val="412C788E"/>
    <w:multiLevelType w:val="hybridMultilevel"/>
    <w:tmpl w:val="E8FCC8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E06E5B"/>
    <w:multiLevelType w:val="hybridMultilevel"/>
    <w:tmpl w:val="7F6243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AD78B3"/>
    <w:multiLevelType w:val="hybridMultilevel"/>
    <w:tmpl w:val="995CEE26"/>
    <w:lvl w:ilvl="0" w:tplc="B5700532">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B8"/>
    <w:rsid w:val="00003DD3"/>
    <w:rsid w:val="000454AA"/>
    <w:rsid w:val="00056444"/>
    <w:rsid w:val="000871AA"/>
    <w:rsid w:val="00090FC1"/>
    <w:rsid w:val="00097F94"/>
    <w:rsid w:val="000B095B"/>
    <w:rsid w:val="000F3061"/>
    <w:rsid w:val="000F6185"/>
    <w:rsid w:val="001012FD"/>
    <w:rsid w:val="001929D8"/>
    <w:rsid w:val="001A279F"/>
    <w:rsid w:val="001B6D12"/>
    <w:rsid w:val="001C159C"/>
    <w:rsid w:val="001E130B"/>
    <w:rsid w:val="0022349D"/>
    <w:rsid w:val="0023762E"/>
    <w:rsid w:val="002730C6"/>
    <w:rsid w:val="00280005"/>
    <w:rsid w:val="00297978"/>
    <w:rsid w:val="002B202B"/>
    <w:rsid w:val="002B2DD8"/>
    <w:rsid w:val="002C7FB2"/>
    <w:rsid w:val="0034208C"/>
    <w:rsid w:val="00364226"/>
    <w:rsid w:val="003655FB"/>
    <w:rsid w:val="00377FA6"/>
    <w:rsid w:val="00390FEF"/>
    <w:rsid w:val="00397B50"/>
    <w:rsid w:val="003A31A4"/>
    <w:rsid w:val="003A4D34"/>
    <w:rsid w:val="003C456A"/>
    <w:rsid w:val="003E0C16"/>
    <w:rsid w:val="003E6F6F"/>
    <w:rsid w:val="003F1B95"/>
    <w:rsid w:val="00405273"/>
    <w:rsid w:val="00424B29"/>
    <w:rsid w:val="00440C89"/>
    <w:rsid w:val="00440ECC"/>
    <w:rsid w:val="004740F3"/>
    <w:rsid w:val="00481FC1"/>
    <w:rsid w:val="004951D2"/>
    <w:rsid w:val="00500783"/>
    <w:rsid w:val="00514581"/>
    <w:rsid w:val="00544808"/>
    <w:rsid w:val="0054641B"/>
    <w:rsid w:val="00570566"/>
    <w:rsid w:val="00584210"/>
    <w:rsid w:val="005A770A"/>
    <w:rsid w:val="005C0788"/>
    <w:rsid w:val="005C0E0E"/>
    <w:rsid w:val="005C248B"/>
    <w:rsid w:val="005C5FB2"/>
    <w:rsid w:val="005D2CCE"/>
    <w:rsid w:val="005E0B74"/>
    <w:rsid w:val="00642C0E"/>
    <w:rsid w:val="0065183E"/>
    <w:rsid w:val="006574AD"/>
    <w:rsid w:val="0067375C"/>
    <w:rsid w:val="00676908"/>
    <w:rsid w:val="006A0172"/>
    <w:rsid w:val="006A2256"/>
    <w:rsid w:val="006A517D"/>
    <w:rsid w:val="006C7DD9"/>
    <w:rsid w:val="006D78FE"/>
    <w:rsid w:val="006E0944"/>
    <w:rsid w:val="00700532"/>
    <w:rsid w:val="00702345"/>
    <w:rsid w:val="007057B8"/>
    <w:rsid w:val="00705BF6"/>
    <w:rsid w:val="007075A4"/>
    <w:rsid w:val="007303FF"/>
    <w:rsid w:val="00742347"/>
    <w:rsid w:val="00762F47"/>
    <w:rsid w:val="0077245A"/>
    <w:rsid w:val="007B6824"/>
    <w:rsid w:val="007C1C2D"/>
    <w:rsid w:val="007C5F1D"/>
    <w:rsid w:val="007C7EE3"/>
    <w:rsid w:val="007E486E"/>
    <w:rsid w:val="007E532F"/>
    <w:rsid w:val="00810805"/>
    <w:rsid w:val="00817713"/>
    <w:rsid w:val="00827D6C"/>
    <w:rsid w:val="00831110"/>
    <w:rsid w:val="00835E04"/>
    <w:rsid w:val="00836869"/>
    <w:rsid w:val="008433C1"/>
    <w:rsid w:val="00885E3C"/>
    <w:rsid w:val="008908BC"/>
    <w:rsid w:val="00892997"/>
    <w:rsid w:val="008A5A62"/>
    <w:rsid w:val="008B44C7"/>
    <w:rsid w:val="008D14DE"/>
    <w:rsid w:val="00915FC4"/>
    <w:rsid w:val="009267F1"/>
    <w:rsid w:val="00945CCC"/>
    <w:rsid w:val="0094771F"/>
    <w:rsid w:val="00956BBD"/>
    <w:rsid w:val="009B7A57"/>
    <w:rsid w:val="009D0AEE"/>
    <w:rsid w:val="009D368B"/>
    <w:rsid w:val="009E2EAE"/>
    <w:rsid w:val="00A31E0C"/>
    <w:rsid w:val="00A4525D"/>
    <w:rsid w:val="00A76607"/>
    <w:rsid w:val="00A81326"/>
    <w:rsid w:val="00A97E7E"/>
    <w:rsid w:val="00AB2DC0"/>
    <w:rsid w:val="00AC63BE"/>
    <w:rsid w:val="00AE14C3"/>
    <w:rsid w:val="00AF1BF9"/>
    <w:rsid w:val="00B11F85"/>
    <w:rsid w:val="00B2417A"/>
    <w:rsid w:val="00B43AB0"/>
    <w:rsid w:val="00B54D16"/>
    <w:rsid w:val="00B74DD4"/>
    <w:rsid w:val="00B763EF"/>
    <w:rsid w:val="00B841B0"/>
    <w:rsid w:val="00BC5C3F"/>
    <w:rsid w:val="00BD35A7"/>
    <w:rsid w:val="00BE0509"/>
    <w:rsid w:val="00BE7B01"/>
    <w:rsid w:val="00C470F6"/>
    <w:rsid w:val="00C53804"/>
    <w:rsid w:val="00C66DE7"/>
    <w:rsid w:val="00C9044D"/>
    <w:rsid w:val="00CA3A2D"/>
    <w:rsid w:val="00CA5CB4"/>
    <w:rsid w:val="00CA7867"/>
    <w:rsid w:val="00CB7A84"/>
    <w:rsid w:val="00CC52FF"/>
    <w:rsid w:val="00CD2079"/>
    <w:rsid w:val="00CD2EAF"/>
    <w:rsid w:val="00D066D5"/>
    <w:rsid w:val="00D30950"/>
    <w:rsid w:val="00D34499"/>
    <w:rsid w:val="00D463A2"/>
    <w:rsid w:val="00D50C14"/>
    <w:rsid w:val="00D5435D"/>
    <w:rsid w:val="00D548F3"/>
    <w:rsid w:val="00D90724"/>
    <w:rsid w:val="00D9580C"/>
    <w:rsid w:val="00D97072"/>
    <w:rsid w:val="00DA2A65"/>
    <w:rsid w:val="00DA417B"/>
    <w:rsid w:val="00DF08DA"/>
    <w:rsid w:val="00E8137A"/>
    <w:rsid w:val="00E81ED3"/>
    <w:rsid w:val="00EC323F"/>
    <w:rsid w:val="00F1396F"/>
    <w:rsid w:val="00F22D0F"/>
    <w:rsid w:val="00F246AE"/>
    <w:rsid w:val="00F25C16"/>
    <w:rsid w:val="00F34958"/>
    <w:rsid w:val="00F7330B"/>
    <w:rsid w:val="00FB7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A1A7E1"/>
  <w15:chartTrackingRefBased/>
  <w15:docId w15:val="{7B46117E-C0A7-5F45-A4B5-7B01D72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F1"/>
    <w:pPr>
      <w:spacing w:after="200" w:line="276"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70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566"/>
    <w:rPr>
      <w:rFonts w:ascii="Calibri" w:hAnsi="Calibri" w:cs="Calibri"/>
      <w:sz w:val="22"/>
      <w:szCs w:val="22"/>
    </w:rPr>
  </w:style>
  <w:style w:type="character" w:styleId="PageNumber">
    <w:name w:val="page number"/>
    <w:basedOn w:val="DefaultParagraphFont"/>
    <w:uiPriority w:val="99"/>
    <w:semiHidden/>
    <w:unhideWhenUsed/>
    <w:rsid w:val="00570566"/>
  </w:style>
  <w:style w:type="paragraph" w:styleId="Header">
    <w:name w:val="header"/>
    <w:basedOn w:val="Normal"/>
    <w:link w:val="HeaderChar"/>
    <w:uiPriority w:val="99"/>
    <w:unhideWhenUsed/>
    <w:rsid w:val="00570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566"/>
    <w:rPr>
      <w:rFonts w:ascii="Calibri" w:hAnsi="Calibri" w:cs="Calibri"/>
      <w:sz w:val="22"/>
      <w:szCs w:val="22"/>
    </w:rPr>
  </w:style>
  <w:style w:type="paragraph" w:styleId="ListParagraph">
    <w:name w:val="List Paragraph"/>
    <w:basedOn w:val="Normal"/>
    <w:uiPriority w:val="34"/>
    <w:qFormat/>
    <w:rsid w:val="00500783"/>
    <w:pPr>
      <w:ind w:left="720"/>
      <w:contextualSpacing/>
    </w:pPr>
  </w:style>
  <w:style w:type="paragraph" w:styleId="BodyText">
    <w:name w:val="Body Text"/>
    <w:basedOn w:val="Normal"/>
    <w:link w:val="BodyTextChar"/>
    <w:uiPriority w:val="1"/>
    <w:qFormat/>
    <w:rsid w:val="00AC63BE"/>
    <w:pPr>
      <w:widowControl w:val="0"/>
      <w:autoSpaceDE w:val="0"/>
      <w:autoSpaceDN w:val="0"/>
      <w:spacing w:after="0" w:line="240" w:lineRule="auto"/>
    </w:pPr>
    <w:rPr>
      <w:rFonts w:eastAsia="Calibri"/>
      <w:b/>
      <w:bCs/>
      <w:kern w:val="0"/>
      <w:sz w:val="24"/>
      <w:szCs w:val="24"/>
      <w:lang w:val="en-US"/>
      <w14:ligatures w14:val="none"/>
    </w:rPr>
  </w:style>
  <w:style w:type="character" w:customStyle="1" w:styleId="BodyTextChar">
    <w:name w:val="Body Text Char"/>
    <w:basedOn w:val="DefaultParagraphFont"/>
    <w:link w:val="BodyText"/>
    <w:uiPriority w:val="1"/>
    <w:rsid w:val="00AC63BE"/>
    <w:rPr>
      <w:rFonts w:ascii="Calibri" w:eastAsia="Calibri" w:hAnsi="Calibri" w:cs="Calibri"/>
      <w:b/>
      <w:bCs/>
      <w:kern w:val="0"/>
      <w:lang w:val="en-US"/>
      <w14:ligatures w14:val="none"/>
    </w:rPr>
  </w:style>
  <w:style w:type="paragraph" w:styleId="Title">
    <w:name w:val="Title"/>
    <w:basedOn w:val="Normal"/>
    <w:link w:val="TitleChar"/>
    <w:uiPriority w:val="10"/>
    <w:qFormat/>
    <w:rsid w:val="00AC63BE"/>
    <w:pPr>
      <w:widowControl w:val="0"/>
      <w:autoSpaceDE w:val="0"/>
      <w:autoSpaceDN w:val="0"/>
      <w:spacing w:before="42" w:after="0" w:line="240" w:lineRule="auto"/>
      <w:ind w:left="783" w:right="1226"/>
      <w:jc w:val="center"/>
    </w:pPr>
    <w:rPr>
      <w:rFonts w:eastAsia="Calibri"/>
      <w:b/>
      <w:bCs/>
      <w:kern w:val="0"/>
      <w:sz w:val="31"/>
      <w:szCs w:val="31"/>
      <w:lang w:val="en-US"/>
      <w14:ligatures w14:val="none"/>
    </w:rPr>
  </w:style>
  <w:style w:type="character" w:customStyle="1" w:styleId="TitleChar">
    <w:name w:val="Title Char"/>
    <w:basedOn w:val="DefaultParagraphFont"/>
    <w:link w:val="Title"/>
    <w:uiPriority w:val="10"/>
    <w:rsid w:val="00AC63BE"/>
    <w:rPr>
      <w:rFonts w:ascii="Calibri" w:eastAsia="Calibri" w:hAnsi="Calibri" w:cs="Calibri"/>
      <w:b/>
      <w:bCs/>
      <w:kern w:val="0"/>
      <w:sz w:val="31"/>
      <w:szCs w:val="31"/>
      <w:lang w:val="en-US"/>
      <w14:ligatures w14:val="none"/>
    </w:rPr>
  </w:style>
  <w:style w:type="paragraph" w:styleId="BalloonText">
    <w:name w:val="Balloon Text"/>
    <w:basedOn w:val="Normal"/>
    <w:link w:val="BalloonTextChar"/>
    <w:uiPriority w:val="99"/>
    <w:semiHidden/>
    <w:unhideWhenUsed/>
    <w:rsid w:val="002B2DD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2DD8"/>
    <w:rPr>
      <w:rFonts w:ascii="Times New Roman" w:hAnsi="Times New Roman" w:cs="Times New Roman"/>
      <w:sz w:val="18"/>
      <w:szCs w:val="18"/>
    </w:rPr>
  </w:style>
  <w:style w:type="paragraph" w:styleId="Revision">
    <w:name w:val="Revision"/>
    <w:hidden/>
    <w:uiPriority w:val="99"/>
    <w:semiHidden/>
    <w:rsid w:val="000454AA"/>
    <w:rPr>
      <w:rFonts w:ascii="Calibri" w:hAnsi="Calibri" w:cs="Calibri"/>
      <w:sz w:val="22"/>
      <w:szCs w:val="22"/>
    </w:rPr>
  </w:style>
  <w:style w:type="paragraph" w:styleId="NormalWeb">
    <w:name w:val="Normal (Web)"/>
    <w:basedOn w:val="Normal"/>
    <w:uiPriority w:val="99"/>
    <w:unhideWhenUsed/>
    <w:rsid w:val="006A017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odyText3">
    <w:name w:val="Body Text 3"/>
    <w:basedOn w:val="Normal"/>
    <w:link w:val="BodyText3Char"/>
    <w:rsid w:val="001E130B"/>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rsid w:val="001E130B"/>
    <w:rPr>
      <w:rFonts w:ascii="Times New Roman" w:eastAsia="Times New Roman" w:hAnsi="Times New Roman" w:cs="Times New Roman"/>
      <w:kern w:val="0"/>
      <w:sz w:val="16"/>
      <w:szCs w:val="16"/>
      <w14:ligatures w14:val="none"/>
    </w:rPr>
  </w:style>
  <w:style w:type="paragraph" w:customStyle="1" w:styleId="ecxmsolistparagraph">
    <w:name w:val="ecxmsolistparagraph"/>
    <w:basedOn w:val="Normal"/>
    <w:rsid w:val="001E130B"/>
    <w:pPr>
      <w:spacing w:after="324"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E130B"/>
    <w:rPr>
      <w:color w:val="0563C1" w:themeColor="hyperlink"/>
      <w:u w:val="single"/>
    </w:rPr>
  </w:style>
  <w:style w:type="character" w:styleId="FollowedHyperlink">
    <w:name w:val="FollowedHyperlink"/>
    <w:basedOn w:val="DefaultParagraphFont"/>
    <w:uiPriority w:val="99"/>
    <w:semiHidden/>
    <w:unhideWhenUsed/>
    <w:rsid w:val="00A97E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Green</dc:creator>
  <cp:keywords/>
  <dc:description/>
  <cp:lastModifiedBy>helen andrews</cp:lastModifiedBy>
  <cp:revision>3</cp:revision>
  <cp:lastPrinted>2024-03-10T22:20:00Z</cp:lastPrinted>
  <dcterms:created xsi:type="dcterms:W3CDTF">2024-07-03T09:46:00Z</dcterms:created>
  <dcterms:modified xsi:type="dcterms:W3CDTF">2024-07-03T09:55:00Z</dcterms:modified>
</cp:coreProperties>
</file>